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9A0D0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  <w:t>一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  <w:lang w:val="en-US" w:eastAsia="zh-CN"/>
        </w:rPr>
        <w:t>项目需求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前附表</w:t>
      </w:r>
    </w:p>
    <w:tbl>
      <w:tblPr>
        <w:tblStyle w:val="11"/>
        <w:tblW w:w="585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0"/>
        <w:gridCol w:w="7753"/>
      </w:tblGrid>
      <w:tr w14:paraId="14CE9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347" w:type="pct"/>
            <w:vAlign w:val="center"/>
          </w:tcPr>
          <w:p w14:paraId="5963BB46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项目名称</w:t>
            </w:r>
          </w:p>
        </w:tc>
        <w:tc>
          <w:tcPr>
            <w:tcW w:w="3652" w:type="pct"/>
            <w:vAlign w:val="center"/>
          </w:tcPr>
          <w:p w14:paraId="3DC3973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长江流域水生生物资源监测安徽站建设设备采购项目</w:t>
            </w:r>
          </w:p>
        </w:tc>
      </w:tr>
      <w:tr w14:paraId="79506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347" w:type="pct"/>
            <w:vAlign w:val="center"/>
          </w:tcPr>
          <w:p w14:paraId="6F139570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项目预算</w:t>
            </w:r>
          </w:p>
        </w:tc>
        <w:tc>
          <w:tcPr>
            <w:tcW w:w="3652" w:type="pct"/>
            <w:vAlign w:val="center"/>
          </w:tcPr>
          <w:p w14:paraId="49774F9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65.1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  <w:t>万元</w:t>
            </w:r>
          </w:p>
        </w:tc>
      </w:tr>
      <w:tr w14:paraId="1F9FE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47" w:type="pct"/>
            <w:vAlign w:val="center"/>
          </w:tcPr>
          <w:p w14:paraId="16F1E1F4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项目概况</w:t>
            </w:r>
          </w:p>
        </w:tc>
        <w:tc>
          <w:tcPr>
            <w:tcW w:w="3652" w:type="pct"/>
            <w:vAlign w:val="center"/>
          </w:tcPr>
          <w:p w14:paraId="25C2289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详见采购需求</w:t>
            </w:r>
          </w:p>
        </w:tc>
      </w:tr>
      <w:tr w14:paraId="6477F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47" w:type="pct"/>
            <w:vAlign w:val="center"/>
          </w:tcPr>
          <w:p w14:paraId="3382734A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采购方式</w:t>
            </w:r>
          </w:p>
        </w:tc>
        <w:tc>
          <w:tcPr>
            <w:tcW w:w="3652" w:type="pct"/>
            <w:vAlign w:val="center"/>
          </w:tcPr>
          <w:p w14:paraId="0B2E1FF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  <w:t>公开招标</w:t>
            </w:r>
          </w:p>
        </w:tc>
      </w:tr>
      <w:tr w14:paraId="02299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347" w:type="pct"/>
            <w:vAlign w:val="center"/>
          </w:tcPr>
          <w:p w14:paraId="5A8A42A8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包别划分</w:t>
            </w:r>
          </w:p>
        </w:tc>
        <w:tc>
          <w:tcPr>
            <w:tcW w:w="3652" w:type="pct"/>
            <w:vAlign w:val="center"/>
          </w:tcPr>
          <w:p w14:paraId="5F4DC104">
            <w:pPr>
              <w:autoSpaceDE w:val="0"/>
              <w:autoSpaceDN w:val="0"/>
              <w:adjustRightInd w:val="0"/>
              <w:spacing w:line="360" w:lineRule="auto"/>
              <w:rPr>
                <w:rFonts w:hint="default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本次采购第3包</w:t>
            </w:r>
          </w:p>
        </w:tc>
      </w:tr>
      <w:tr w14:paraId="0FD05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4" w:hRule="atLeast"/>
          <w:jc w:val="center"/>
        </w:trPr>
        <w:tc>
          <w:tcPr>
            <w:tcW w:w="1347" w:type="pct"/>
            <w:vAlign w:val="center"/>
          </w:tcPr>
          <w:p w14:paraId="398D1503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投标人资格要求</w:t>
            </w:r>
          </w:p>
        </w:tc>
        <w:tc>
          <w:tcPr>
            <w:tcW w:w="3652" w:type="pct"/>
            <w:vAlign w:val="center"/>
          </w:tcPr>
          <w:p w14:paraId="60FE806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1.满足《中华人民共和国政府采购法》第二十二条规定。</w:t>
            </w:r>
          </w:p>
          <w:p w14:paraId="2C6C6C1D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2.落实政府采购政策需满足的资格要求：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本项目第3包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专门面向中小企业采购，投标人提供的货物全部由符合政策要求的中小企业制造。</w:t>
            </w:r>
          </w:p>
          <w:p w14:paraId="5C48C38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3.本项目的特定资格要求：无。</w:t>
            </w:r>
          </w:p>
          <w:p w14:paraId="4E76B36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4.信誉要求：截至提交投标文件截止时间，投标人（含其不具有独立法人资格的分支机构）存在下列有效情形之一的，其投标文件按无效处理。</w:t>
            </w:r>
          </w:p>
          <w:p w14:paraId="42AB86D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（1）被人民法院列入失信被执行人名单的；</w:t>
            </w:r>
          </w:p>
          <w:p w14:paraId="201CDF1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（2）被税务机关列入重大税收违法失信主体的；</w:t>
            </w:r>
          </w:p>
          <w:p w14:paraId="37B39369">
            <w:pPr>
              <w:spacing w:line="360" w:lineRule="auto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（3）被财政部门列入政府采购严重违法失信名单的。</w:t>
            </w:r>
          </w:p>
        </w:tc>
      </w:tr>
      <w:tr w14:paraId="5B55B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347" w:type="pct"/>
            <w:vAlign w:val="center"/>
          </w:tcPr>
          <w:p w14:paraId="1BF82635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是否专门面向中小企业</w:t>
            </w:r>
          </w:p>
        </w:tc>
        <w:tc>
          <w:tcPr>
            <w:tcW w:w="3652" w:type="pct"/>
            <w:vAlign w:val="center"/>
          </w:tcPr>
          <w:p w14:paraId="26BB8648">
            <w:pPr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是</w:t>
            </w:r>
          </w:p>
        </w:tc>
      </w:tr>
      <w:tr w14:paraId="3DA6D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347" w:type="pct"/>
            <w:vAlign w:val="center"/>
          </w:tcPr>
          <w:p w14:paraId="481D4E4E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是否接受联合体投标</w:t>
            </w:r>
          </w:p>
        </w:tc>
        <w:tc>
          <w:tcPr>
            <w:tcW w:w="3652" w:type="pct"/>
            <w:vAlign w:val="center"/>
          </w:tcPr>
          <w:p w14:paraId="3D368DD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</w:p>
        </w:tc>
      </w:tr>
    </w:tbl>
    <w:p w14:paraId="1128D41B">
      <w:pPr>
        <w:rPr>
          <w:rFonts w:ascii="华文中宋" w:hAnsi="华文中宋" w:eastAsia="华文中宋" w:cs="Times New Roman"/>
          <w:color w:val="auto"/>
          <w:sz w:val="36"/>
          <w:szCs w:val="36"/>
          <w:highlight w:val="none"/>
        </w:rPr>
      </w:pPr>
    </w:p>
    <w:p w14:paraId="5BCB14FC">
      <w:pPr>
        <w:spacing w:line="20" w:lineRule="exact"/>
        <w:rPr>
          <w:rFonts w:hint="eastAsia" w:cs="Times New Roman" w:asciiTheme="minorEastAsia" w:hAnsiTheme="minorEastAsia" w:eastAsiaTheme="minorEastAsia"/>
          <w:color w:val="auto"/>
          <w:sz w:val="30"/>
          <w:szCs w:val="30"/>
          <w:highlight w:val="none"/>
          <w:lang w:eastAsia="zh-CN"/>
        </w:rPr>
      </w:pPr>
    </w:p>
    <w:p w14:paraId="1E4136B1">
      <w:pP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</w:rPr>
        <w:br w:type="page"/>
      </w:r>
    </w:p>
    <w:p w14:paraId="161DE645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采购需求表（货物类）</w:t>
      </w:r>
    </w:p>
    <w:p w14:paraId="0291CC48">
      <w:pPr>
        <w:spacing w:line="360" w:lineRule="auto"/>
        <w:outlineLvl w:val="0"/>
        <w:rPr>
          <w:color w:val="auto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（一）需求一览表</w:t>
      </w:r>
    </w:p>
    <w:tbl>
      <w:tblPr>
        <w:tblStyle w:val="11"/>
        <w:tblW w:w="92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189"/>
        <w:gridCol w:w="4819"/>
        <w:gridCol w:w="851"/>
        <w:gridCol w:w="850"/>
        <w:gridCol w:w="850"/>
      </w:tblGrid>
      <w:tr w14:paraId="20C71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shd w:val="clear" w:color="auto" w:fill="auto"/>
            <w:noWrap w:val="0"/>
            <w:vAlign w:val="center"/>
          </w:tcPr>
          <w:p w14:paraId="6F309C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kern w:val="2"/>
                <w:sz w:val="21"/>
                <w:szCs w:val="21"/>
                <w:lang w:val="en-US" w:eastAsia="zh-CN" w:bidi="ar-SA"/>
              </w:rPr>
            </w:pPr>
            <w:bookmarkStart w:id="0" w:name="_Toc1814319857"/>
            <w:bookmarkStart w:id="1" w:name="_Toc1520309192"/>
            <w:bookmarkStart w:id="2" w:name="_Toc1061105159_WPSOffice_Level2"/>
            <w:bookmarkStart w:id="3" w:name="_Toc13384869"/>
            <w:bookmarkStart w:id="4" w:name="_Toc1900587714"/>
            <w:bookmarkStart w:id="5" w:name="_Toc49042126"/>
            <w:bookmarkStart w:id="6" w:name="_Toc902728931"/>
            <w:bookmarkStart w:id="7" w:name="_Toc1101062245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189" w:type="dxa"/>
            <w:noWrap w:val="0"/>
            <w:vAlign w:val="center"/>
          </w:tcPr>
          <w:p w14:paraId="01445D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货物名称</w:t>
            </w:r>
          </w:p>
        </w:tc>
        <w:tc>
          <w:tcPr>
            <w:tcW w:w="4819" w:type="dxa"/>
            <w:noWrap w:val="0"/>
            <w:vAlign w:val="center"/>
          </w:tcPr>
          <w:p w14:paraId="7E34EC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技术参数及要求</w:t>
            </w:r>
          </w:p>
        </w:tc>
        <w:tc>
          <w:tcPr>
            <w:tcW w:w="851" w:type="dxa"/>
            <w:noWrap w:val="0"/>
            <w:vAlign w:val="center"/>
          </w:tcPr>
          <w:p w14:paraId="648B2D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850" w:type="dxa"/>
            <w:noWrap w:val="0"/>
            <w:vAlign w:val="center"/>
          </w:tcPr>
          <w:p w14:paraId="40BC9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所属行业</w:t>
            </w:r>
          </w:p>
        </w:tc>
        <w:tc>
          <w:tcPr>
            <w:tcW w:w="850" w:type="dxa"/>
            <w:noWrap w:val="0"/>
            <w:vAlign w:val="center"/>
          </w:tcPr>
          <w:p w14:paraId="362009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备注（进口或强制节能）</w:t>
            </w:r>
          </w:p>
        </w:tc>
      </w:tr>
      <w:tr w14:paraId="535A7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6A9566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6CC730EB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UPS不间断电源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17634B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1.容量：6000VA/4800W</w:t>
            </w:r>
          </w:p>
          <w:p w14:paraId="773E02B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2.输入电压：110-300VAC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延时范围：外置电池2小时后备供电</w:t>
            </w:r>
          </w:p>
          <w:p w14:paraId="5EFB865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8"/>
                <w:lang w:val="en-US" w:eastAsia="zh-CN"/>
              </w:rPr>
              <w:t>输出失真度：THD&lt;2%</w:t>
            </w:r>
          </w:p>
          <w:p w14:paraId="047101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8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输出电压：220VAC±1%</w:t>
            </w:r>
          </w:p>
          <w:p w14:paraId="757D92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6.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输入功率因数：＞0.99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632E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noWrap w:val="0"/>
            <w:vAlign w:val="center"/>
          </w:tcPr>
          <w:p w14:paraId="711F4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81D80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6CE11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3870DB30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61B1F46D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纯水仪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115DD98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出水水质：可同时制取RO纯水和UP超纯水；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2.制水量: ≥20升/小时（水温25℃时）；</w:t>
            </w:r>
          </w:p>
          <w:p w14:paraId="79EB13B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3.第一出水(RO纯水) (在线监测)电导率:≤5 µS/cm（符合国标GB/T6682-2008 三级水）</w:t>
            </w:r>
            <w:r>
              <w:rPr>
                <w:rFonts w:hint="default" w:ascii="Times New Roman" w:hAnsi="Times New Roman" w:eastAsia="宋体" w:cs="Times New Roman"/>
                <w:color w:val="auto"/>
                <w:lang w:eastAsia="zh-CN"/>
              </w:rPr>
              <w:t>。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4.第二出水(UP超纯水)(在线监测)电阻率：≥18.2MΩ.cm（符合国标GB/T6682-2008 一级水）。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 xml:space="preserve">5.取水流速： RO水≥1L/Min；UP水≥1.0L/Min. 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6.系统开机自检RO反渗透膜自动冲洗；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58E3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5556D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55343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1A8AA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3926194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2471C455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highlight w:val="none"/>
                <w:lang w:val="en-US" w:eastAsia="zh-CN"/>
              </w:rPr>
              <w:t>▲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便携式水质测定仪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773ED69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1.配备温度、溶解氧、pH、电导率、氧化还原电位探头</w:t>
            </w: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连接线缆不低于4米，主机安全防护需要达到IP67防水等级。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2.主机、电缆、探头三体分离：同一主机可</w:t>
            </w: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配备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不同长度、不同参数接口的电缆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 xml:space="preserve">3.电池仓与仪器电路仓各自独立分隔并密封 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4.溶解氧（极谱法或原电池法，毫克/升）</w:t>
            </w:r>
          </w:p>
          <w:p w14:paraId="4CF51BC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4.1测量范围不低于：0~30 mg/L；</w:t>
            </w:r>
          </w:p>
          <w:p w14:paraId="6314D2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4.2准确度：0~20mg/L: 读数值±0.2 mg/L或2% (以较大值为准)，20~30mg/L: 读数值±6%；</w:t>
            </w:r>
          </w:p>
          <w:p w14:paraId="0E2B5B9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5.温度测量范围不低于：0~50℃；</w:t>
            </w:r>
          </w:p>
          <w:p w14:paraId="64E275E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5.1准确度：±0.2℃；</w:t>
            </w:r>
          </w:p>
          <w:p w14:paraId="40A0F99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5.2分辨率：0.1℃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6.电导率测量范围不低于：0~200mS/cm，准确度：读数的±0.5%或0.001mS/cm, 以较大值为准；分辨率：0.001~0.1mS/cm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8. pH测量范围不低于：0~14；</w:t>
            </w:r>
          </w:p>
          <w:p w14:paraId="1B06E4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8.1准确度：±0.2；</w:t>
            </w:r>
          </w:p>
          <w:p w14:paraId="39F99A6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8.2分辨率：0.01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9.氧化还原电位测量范围不低于：-1999~1999mV；</w:t>
            </w:r>
          </w:p>
          <w:p w14:paraId="385FD11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9.1准确度：±0.2 mV；</w:t>
            </w:r>
          </w:p>
          <w:p w14:paraId="196C3D9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9.2分辨率：0.1mV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70C4F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08BDF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18C02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3809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5A5FBEBE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186804BF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生物安全柜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2CDF641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1.气流模式：30%外排，70%循环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流入气流平均风速≥0.5m/s，下降气流平均风速≥0.3m/s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 HEPA或ULPA超高效空气过滤器，针对颗粒直径≥0.12um，过滤效率≥99.9%；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3. 前窗具有安全高度限位声光报警功能；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4.安全性能保障：具备紫外系统、荧光灯、前窗的连锁系统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5.移动可调支架，工作区内部工作尺寸宽度要求≥1300mm。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322BD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11E9B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3D7D8C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8080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49467796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17724C4B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普通生物显微镜（1）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248324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1、目镜参数：</w:t>
            </w:r>
          </w:p>
          <w:p w14:paraId="34FF506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 xml:space="preserve">1.1 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30°倾斜，铰链式三目观察头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可360度旋转</w:t>
            </w:r>
          </w:p>
          <w:p w14:paraId="41CEA8A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 xml:space="preserve">1.2 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瞳距调节：50mm-75mm</w:t>
            </w:r>
          </w:p>
          <w:p w14:paraId="6198E37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1.3 大视野平场目镜不小于PL10X/18mm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 xml:space="preserve">2、配备平场消色差物镜 4X 10X 40X 100X </w:t>
            </w:r>
          </w:p>
          <w:p w14:paraId="1316988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3、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光学校正：无限远色差校正系统物镜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、观察方式：具备试样在透射情况下的明场观察方式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、含拍照和显示屏，显示屏≥10英寸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有效像素不低于1600万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1D034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noWrap w:val="0"/>
            <w:vAlign w:val="center"/>
          </w:tcPr>
          <w:p w14:paraId="15BE9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876FD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199F1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433B3E18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142E80A9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普通生物显微镜（2）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5CDDDC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无限远平场消色差物镜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放大倍数：4X 、10X 、40X 、100X（油）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各1只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2、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三目筒目镜管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1只，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配备10X 目镜、16X 目镜各 1 对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3、总放大倍数：40X-1600X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4、内置式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LED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可调光源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5、物镜用浸油（合成油）1瓶</w:t>
            </w:r>
          </w:p>
          <w:p w14:paraId="0C760A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6、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滤色片（蓝、黄、绿）：各 1 片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78ADA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5E455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7BED0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F4A8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5E94150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00397605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高质量生物显微镜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05CA22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镜筒：30°倾斜，铰链式三目观察头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可360度旋转；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大视野平场目镜不小于PL10X/20mm；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无限远平场消色差物镜:4 ×、10×、40×、100×(S)Oi；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总放大倍率：40× ~ 1000×；</w:t>
            </w:r>
          </w:p>
          <w:p w14:paraId="67DBC4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  <w:t>5.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载物台：内置式双层机构机械载物台，双切片设计</w:t>
            </w:r>
          </w:p>
          <w:p w14:paraId="41F4393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6.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调焦机构：粗调行程≥25mm，微调精度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≤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2μm，带有防止下滑的调节松紧装置和随机上限位装置；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7.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内置式LED可调冷光源；</w:t>
            </w:r>
          </w:p>
          <w:p w14:paraId="1FF079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9.标准配置：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9.1.生物显微镜/台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</w:p>
          <w:p w14:paraId="5683813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9.2.观察镜筒/1只（在主机上）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9.3.平场目镜 10X /对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9.4.无穷远平场物镜 4 ×、 10×、40× (S)、 100× (S) Oil/各 1 只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9.5.移动工作台/1只（在主机上）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9.6.滤色片/1 片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9.7.拍照处理终端1套</w:t>
            </w:r>
            <w:r>
              <w:rPr>
                <w:rFonts w:hint="default" w:ascii="Times New Roman" w:hAnsi="Times New Roman" w:eastAsia="宋体" w:cs="Times New Roman"/>
                <w:color w:val="auto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配备专业拍摄系统，I5-13500/16G DDR4/512G SSD</w:t>
            </w:r>
            <w:r>
              <w:rPr>
                <w:rFonts w:hint="default" w:ascii="Times New Roman" w:hAnsi="Times New Roman" w:eastAsia="宋体" w:cs="Times New Roman"/>
                <w:color w:val="auto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，输出设备1台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DE02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850" w:type="dxa"/>
            <w:noWrap w:val="0"/>
            <w:vAlign w:val="center"/>
          </w:tcPr>
          <w:p w14:paraId="20F6D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7D84E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49A8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04C1A1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/>
            <w:noWrap w:val="0"/>
            <w:vAlign w:val="center"/>
          </w:tcPr>
          <w:p w14:paraId="62C90F02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冰箱</w:t>
            </w:r>
          </w:p>
        </w:tc>
        <w:tc>
          <w:tcPr>
            <w:tcW w:w="4819" w:type="dxa"/>
            <w:shd w:val="clear"/>
            <w:noWrap w:val="0"/>
            <w:vAlign w:val="center"/>
          </w:tcPr>
          <w:p w14:paraId="763E7C1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总容积≥400L，冷冻室容积≥120L，</w:t>
            </w:r>
          </w:p>
          <w:p w14:paraId="7CD0A71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一级效能，额定电压220V，十字门，冷冻室冷冻能力≥5kg/12h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23D69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noWrap w:val="0"/>
            <w:vAlign w:val="center"/>
          </w:tcPr>
          <w:p w14:paraId="7475A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542FFD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tr w14:paraId="64A93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9AE1FED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EE92E39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冰柜</w:t>
            </w:r>
          </w:p>
        </w:tc>
        <w:tc>
          <w:tcPr>
            <w:tcW w:w="0" w:type="auto"/>
            <w:shd w:val="clear"/>
            <w:vAlign w:val="center"/>
          </w:tcPr>
          <w:p w14:paraId="2200AA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容积≥600L</w:t>
            </w:r>
          </w:p>
          <w:p w14:paraId="73F9D5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最低制冷≤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8℃</w:t>
            </w:r>
          </w:p>
          <w:p w14:paraId="0EA0FA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冷冻能力≥25kg/12h，额定电压220V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2B1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vAlign w:val="center"/>
          </w:tcPr>
          <w:p w14:paraId="0C5D0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20D312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1329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10092FC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75DF414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立式冷藏柜</w:t>
            </w:r>
          </w:p>
        </w:tc>
        <w:tc>
          <w:tcPr>
            <w:tcW w:w="0" w:type="auto"/>
            <w:shd w:val="clear"/>
            <w:vAlign w:val="center"/>
          </w:tcPr>
          <w:p w14:paraId="3712BF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容积≥500L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温度范围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2～8℃</w:t>
            </w:r>
          </w:p>
          <w:p w14:paraId="3816CC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一级效能，侧开门，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风冷制冷，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多层送风，均匀制冷，带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万向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脚轮</w:t>
            </w:r>
          </w:p>
          <w:p w14:paraId="7EB56A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门体采用钢化玻璃门设计</w:t>
            </w:r>
          </w:p>
          <w:p w14:paraId="0EBB38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灯光：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箱内配置LED照明灯</w:t>
            </w:r>
          </w:p>
          <w:p w14:paraId="0302AE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配置不少于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个搁架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＋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2个筐篮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B3E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850" w:type="dxa"/>
            <w:vAlign w:val="center"/>
          </w:tcPr>
          <w:p w14:paraId="6266A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7C69C0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77A40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C205D2E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203B8B3">
            <w:pPr>
              <w:bidi w:val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分析天平1</w:t>
            </w:r>
          </w:p>
          <w:p w14:paraId="3A99A2FF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0" w:type="auto"/>
            <w:shd w:val="clear"/>
            <w:vAlign w:val="center"/>
          </w:tcPr>
          <w:p w14:paraId="5E2A95B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1.最大称量值：≥100g；</w:t>
            </w:r>
          </w:p>
          <w:p w14:paraId="36A2825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2.可读性：0.1mg；</w:t>
            </w:r>
          </w:p>
          <w:p w14:paraId="1D50947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3.重复性：≤0.08mg；</w:t>
            </w:r>
          </w:p>
          <w:p w14:paraId="5A8E02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4.线性误差：≤0.</w:t>
            </w: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mg；</w:t>
            </w:r>
          </w:p>
          <w:p w14:paraId="27BA0D3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5.灵敏度偏移（标称加载下）: 0.8mg；</w:t>
            </w:r>
          </w:p>
          <w:p w14:paraId="1D48BEC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6.最小称量值（USP，允差 = 0.10%）：160mg；</w:t>
            </w:r>
          </w:p>
          <w:p w14:paraId="4745C4E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7.金属底座和具有耐化学及酸碱腐蚀性外壳材料；</w:t>
            </w:r>
          </w:p>
          <w:p w14:paraId="4C781E3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8.具备内部校正功能，内置砝码校正功能。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04A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09E81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3F653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25DA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3ABD3DFA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DE73389">
            <w:pPr>
              <w:bidi w:val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分析天平2</w:t>
            </w:r>
          </w:p>
          <w:p w14:paraId="66ECA320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B11051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1.最大称量值：≥50g</w:t>
            </w:r>
          </w:p>
          <w:p w14:paraId="40EF3A5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2.可读性：0.01mg</w:t>
            </w:r>
          </w:p>
          <w:p w14:paraId="065B445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3.重复性：≤0.03mg</w:t>
            </w:r>
          </w:p>
          <w:p w14:paraId="78A715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4.线性误差:≤0.1mg</w:t>
            </w:r>
          </w:p>
          <w:p w14:paraId="7B3087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5.灵敏度偏移（标称加载下）: 0.4mg</w:t>
            </w:r>
          </w:p>
          <w:p w14:paraId="57EEB0F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6.最小称量值（USP，允差 = 0.10%）：30mg</w:t>
            </w:r>
          </w:p>
          <w:p w14:paraId="2AA716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7.金属底座和具有耐化学及酸碱腐蚀性外壳材料</w:t>
            </w:r>
          </w:p>
          <w:p w14:paraId="76B7D28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8.具备内部校正功能，内置砝码校正功能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2FE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2DFC5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3D68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598D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62660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B392B31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电子天平</w:t>
            </w:r>
          </w:p>
        </w:tc>
        <w:tc>
          <w:tcPr>
            <w:tcW w:w="0" w:type="auto"/>
            <w:shd w:val="clear"/>
            <w:vAlign w:val="center"/>
          </w:tcPr>
          <w:p w14:paraId="69286F6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最大称量值：≥600g；，最小称量值：≤0.2g</w:t>
            </w:r>
          </w:p>
          <w:p w14:paraId="0154073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精确度：≤0.01g；</w:t>
            </w:r>
          </w:p>
          <w:p w14:paraId="5488CD7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可充电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2C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vAlign w:val="center"/>
          </w:tcPr>
          <w:p w14:paraId="1670B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83682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1A8C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8B57777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200BCD6A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紫外可见光分光光度计</w:t>
            </w:r>
          </w:p>
        </w:tc>
        <w:tc>
          <w:tcPr>
            <w:tcW w:w="0" w:type="auto"/>
            <w:shd w:val="clear"/>
            <w:vAlign w:val="center"/>
          </w:tcPr>
          <w:p w14:paraId="087961B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 xml:space="preserve">1、仪器特点和功能 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1.1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配备高清智能触摸屏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1.2 样品仓配置自动五联池架，可以适用1-10cm比色皿；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2、仪器技术参数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2.1波长范围：190-1100nm；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2.2光谱带宽：1.8 nm；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2.3波长准确度：±0.3nm；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2.4波长重复性：≤0.2nm；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2.5光度准确度：±0.3%T（0-100%T）；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2.6光度重复性：≤0.1%T(0-100%T)；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2.7杂散光：≤0.03%T；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2.8检测器：硅光二极管；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2.9光源：钨灯、氘灯；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4E5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2E209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0ABBB5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F7EB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F6784CC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FA479CA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单道移液器</w:t>
            </w:r>
          </w:p>
        </w:tc>
        <w:tc>
          <w:tcPr>
            <w:tcW w:w="0" w:type="auto"/>
            <w:shd w:val="clear"/>
            <w:vAlign w:val="center"/>
          </w:tcPr>
          <w:p w14:paraId="03D6EF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0.1-2.5μL，1-10μL，10-100μL，20-200μL，100-100μL各一支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5F3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488C5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299AEE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664D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730F726F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5C047D3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高压灭菌锅</w:t>
            </w:r>
          </w:p>
        </w:tc>
        <w:tc>
          <w:tcPr>
            <w:tcW w:w="0" w:type="auto"/>
            <w:shd w:val="clear"/>
            <w:vAlign w:val="center"/>
          </w:tcPr>
          <w:p w14:paraId="3D8F66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锅盖启闭装置采用拨杆式多连杆同步伸缩结构</w:t>
            </w:r>
          </w:p>
          <w:p w14:paraId="4A9A99B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灭菌锅体采用304及以上不锈钢材质</w:t>
            </w:r>
          </w:p>
          <w:p w14:paraId="4C49B4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数码液晶窗中文显示运行状态，灭菌结束提醒自动停机</w:t>
            </w:r>
          </w:p>
          <w:p w14:paraId="4A84897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具备故障自动检测判断系统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具备灭菌结束自动排气功能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灭菌温度可选设定范围50℃-134℃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灭菌时间可调设定范围0-10h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具有断水保护防干烧和漏电保护系统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具有机械式安全泄压阀和电控式过压保护装置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容积：≥75升,电源电压:220V/50Hz；</w:t>
            </w:r>
          </w:p>
          <w:p w14:paraId="19FCAFE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11.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网篮2只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F8B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44EBE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3C6869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2FFB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23E3197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513665D5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水浴锅</w:t>
            </w:r>
          </w:p>
        </w:tc>
        <w:tc>
          <w:tcPr>
            <w:tcW w:w="0" w:type="auto"/>
            <w:shd w:val="clear"/>
            <w:vAlign w:val="center"/>
          </w:tcPr>
          <w:p w14:paraId="15773A9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1、双列八孔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2、内胆尺寸：600*290*120 mm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3、控温范围：RT+5-100℃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4、温度波动度：±1℃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43B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850" w:type="dxa"/>
            <w:vAlign w:val="center"/>
          </w:tcPr>
          <w:p w14:paraId="1E994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675F1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50759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0E14525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F180A93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成品道闸</w:t>
            </w:r>
          </w:p>
        </w:tc>
        <w:tc>
          <w:tcPr>
            <w:tcW w:w="0" w:type="auto"/>
            <w:shd w:val="clear"/>
            <w:vAlign w:val="center"/>
          </w:tcPr>
          <w:p w14:paraId="5BB48F6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车牌识别率：白天≥99.8%；夜间≥99.6%；</w:t>
            </w:r>
          </w:p>
          <w:p w14:paraId="037CE3C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图像分辨率：≥720P CIF4 CIF；防护等级：≥IP66；</w:t>
            </w:r>
          </w:p>
          <w:p w14:paraId="4EEE4B9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闸杆尺寸：主杆170mm*55mm*1.8厚，长度约4.5m（现场测量为准） 竖杆60mm*20mm，副杆87mm*44mm；</w:t>
            </w:r>
          </w:p>
          <w:p w14:paraId="035C71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  <w:t>4.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走人小门尺寸：1163-1730mm可调节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F2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6A145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9F78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5FAF9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A7BC92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220C2821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电子显示屏</w:t>
            </w:r>
          </w:p>
        </w:tc>
        <w:tc>
          <w:tcPr>
            <w:tcW w:w="0" w:type="auto"/>
            <w:shd w:val="clear"/>
            <w:vAlign w:val="center"/>
          </w:tcPr>
          <w:p w14:paraId="2DFBDA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悬挂式全彩LED屏，尺寸约为2.31米（宽）×1.30米（高），</w:t>
            </w:r>
          </w:p>
          <w:p w14:paraId="0D4107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P3：111,100像素/平方米（点间距3mm）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879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4E5D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714EE6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29671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D12092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56195EE">
            <w:pPr>
              <w:bidi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监测数据库服务器</w:t>
            </w:r>
          </w:p>
        </w:tc>
        <w:tc>
          <w:tcPr>
            <w:tcW w:w="0" w:type="auto"/>
            <w:shd w:val="clear"/>
            <w:vAlign w:val="center"/>
          </w:tcPr>
          <w:p w14:paraId="4DA068A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1、CPU：≥10核16线程；基础主频≥2.5GHz,最大睿频≥4.7GHz，三级缓存≥20MB；</w:t>
            </w:r>
          </w:p>
          <w:p w14:paraId="079AEAE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2、主板：全固态电容主板，B7系列芯片组或以上；主板内置PCIe插槽数量：≥3个；Debug接口≥1个；</w:t>
            </w:r>
          </w:p>
          <w:p w14:paraId="2FA0DB8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3、接口：≥9个USBTYPE-A 3.0接口，1个TYPE-C型接口，1个串口，视频接</w:t>
            </w:r>
            <w:bookmarkStart w:id="8" w:name="_GoBack"/>
            <w:bookmarkEnd w:id="8"/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口数量≥3，千兆自适应网卡≥1，前置智能读卡器，前置网络状态指示灯，前置硬件故障指示灯。</w:t>
            </w:r>
          </w:p>
          <w:p w14:paraId="3D17AB4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4、存储：≥512GB M.2固态硬盘，≥4TB机械硬盘；</w:t>
            </w:r>
          </w:p>
          <w:p w14:paraId="1B17073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5、内存：≥16GB DDR5 5600MHZ,内存条配置数量（板载内存不涉及）≥4；</w:t>
            </w:r>
          </w:p>
          <w:p w14:paraId="3DFAF48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6、音频接口： ≥5个；</w:t>
            </w:r>
          </w:p>
          <w:p w14:paraId="155BE0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7、显卡：独立显卡，内存≥16G，带宽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≥1 TB/s</w:t>
            </w: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;</w:t>
            </w:r>
          </w:p>
          <w:p w14:paraId="2C568F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8、电源：额定功率不低于330W，运行电压89V-265V之间可稳定运行；</w:t>
            </w:r>
          </w:p>
          <w:p w14:paraId="59D5B6C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  <w:t>9、显示器：≥23.8英寸IPS显示器，分辨率≥1920*1080，刷新率≥120Hz，VGA+HDMI接口；</w:t>
            </w:r>
          </w:p>
          <w:p w14:paraId="4427D27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ED75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0E48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104F7C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</w:tbl>
    <w:p w14:paraId="208A31D9">
      <w:pP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</w:p>
    <w:p w14:paraId="384E728F">
      <w:pP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三、报价要求</w:t>
      </w:r>
    </w:p>
    <w:p w14:paraId="78BBF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本项目报投标总价，投标人的报价包含但不限于材料、安装、运输劳务、利润、税金、政策性文件规定及合同包含的所有风险、责任、义务等，即为完成招标文件要求的供货内容所包含的一切应有费用，投标人自行考虑投标风险。</w:t>
      </w:r>
    </w:p>
    <w:p w14:paraId="1625708E">
      <w:pPr>
        <w:rPr>
          <w:color w:val="auto"/>
          <w:highlight w:val="none"/>
        </w:rPr>
      </w:pP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134" w:gutter="0"/>
      <w:cols w:space="425" w:num="1"/>
      <w:docGrid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B4C7196-B7CC-4FC9-8BE3-5A64139962C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F7477C06-C3A0-4ED3-824A-7EE96D1773D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EndPr>
      <w:rPr>
        <w:rFonts w:ascii="宋体" w:hAnsi="宋体" w:eastAsia="宋体"/>
        <w:sz w:val="28"/>
        <w:szCs w:val="28"/>
      </w:rPr>
    </w:sdtEndPr>
    <w:sdtContent>
      <w:p w14:paraId="50202313">
        <w:pPr>
          <w:pStyle w:val="6"/>
          <w:jc w:val="center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t xml:space="preserve">-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14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ascii="宋体" w:hAnsi="宋体" w:eastAsia="宋体"/>
            <w:sz w:val="28"/>
            <w:szCs w:val="28"/>
          </w:rPr>
          <w:t xml:space="preserve"> -</w:t>
        </w:r>
      </w:p>
    </w:sdtContent>
  </w:sdt>
  <w:p w14:paraId="4E44887A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654317"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845AFE"/>
    <w:multiLevelType w:val="singleLevel"/>
    <w:tmpl w:val="86845AF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9CD22C9"/>
    <w:multiLevelType w:val="singleLevel"/>
    <w:tmpl w:val="A9CD22C9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abstractNum w:abstractNumId="2">
    <w:nsid w:val="B1E1BF6F"/>
    <w:multiLevelType w:val="singleLevel"/>
    <w:tmpl w:val="B1E1BF6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11681DA1"/>
    <w:multiLevelType w:val="singleLevel"/>
    <w:tmpl w:val="11681DA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C902F9"/>
    <w:rsid w:val="010F4D4C"/>
    <w:rsid w:val="01177617"/>
    <w:rsid w:val="0120273C"/>
    <w:rsid w:val="02467A44"/>
    <w:rsid w:val="02B2654C"/>
    <w:rsid w:val="040C2A1E"/>
    <w:rsid w:val="06D373CC"/>
    <w:rsid w:val="07464042"/>
    <w:rsid w:val="08476CF7"/>
    <w:rsid w:val="093A28C5"/>
    <w:rsid w:val="093A5001"/>
    <w:rsid w:val="09964200"/>
    <w:rsid w:val="0A7A15F6"/>
    <w:rsid w:val="0B4DC30B"/>
    <w:rsid w:val="0C323D10"/>
    <w:rsid w:val="0D9B1464"/>
    <w:rsid w:val="0E223235"/>
    <w:rsid w:val="0F4F133F"/>
    <w:rsid w:val="0F657030"/>
    <w:rsid w:val="10577D87"/>
    <w:rsid w:val="1187410B"/>
    <w:rsid w:val="151A35DC"/>
    <w:rsid w:val="15CD7F7E"/>
    <w:rsid w:val="17A66563"/>
    <w:rsid w:val="17AD7570"/>
    <w:rsid w:val="18E11E1D"/>
    <w:rsid w:val="1E552528"/>
    <w:rsid w:val="1F5A0233"/>
    <w:rsid w:val="1FD516E8"/>
    <w:rsid w:val="1FDB296A"/>
    <w:rsid w:val="21042B4C"/>
    <w:rsid w:val="211F34E2"/>
    <w:rsid w:val="214116AB"/>
    <w:rsid w:val="21FF03DD"/>
    <w:rsid w:val="22022489"/>
    <w:rsid w:val="221D5D2C"/>
    <w:rsid w:val="22356D36"/>
    <w:rsid w:val="253B28B5"/>
    <w:rsid w:val="25567C56"/>
    <w:rsid w:val="263833F3"/>
    <w:rsid w:val="2654110B"/>
    <w:rsid w:val="27242053"/>
    <w:rsid w:val="287560DE"/>
    <w:rsid w:val="289E73E3"/>
    <w:rsid w:val="28D63020"/>
    <w:rsid w:val="290C07F0"/>
    <w:rsid w:val="29C93E5B"/>
    <w:rsid w:val="2A0475FF"/>
    <w:rsid w:val="2B2D7144"/>
    <w:rsid w:val="2C11436F"/>
    <w:rsid w:val="2C210A56"/>
    <w:rsid w:val="2C8132A3"/>
    <w:rsid w:val="2D4B38B1"/>
    <w:rsid w:val="2D92282E"/>
    <w:rsid w:val="2E0E500A"/>
    <w:rsid w:val="2EC902F9"/>
    <w:rsid w:val="2EE25A8C"/>
    <w:rsid w:val="2EFE6751"/>
    <w:rsid w:val="2FE100E2"/>
    <w:rsid w:val="30007611"/>
    <w:rsid w:val="31B25CAD"/>
    <w:rsid w:val="338B4C32"/>
    <w:rsid w:val="37B3452D"/>
    <w:rsid w:val="394F0285"/>
    <w:rsid w:val="3A3D0AE3"/>
    <w:rsid w:val="3AB5340F"/>
    <w:rsid w:val="3C21415B"/>
    <w:rsid w:val="3C552056"/>
    <w:rsid w:val="3C6E67A1"/>
    <w:rsid w:val="3D774674"/>
    <w:rsid w:val="3D85696B"/>
    <w:rsid w:val="3EF36F4F"/>
    <w:rsid w:val="3F271716"/>
    <w:rsid w:val="40F25494"/>
    <w:rsid w:val="43D7609B"/>
    <w:rsid w:val="44376E3C"/>
    <w:rsid w:val="44BC0EC5"/>
    <w:rsid w:val="46D9476D"/>
    <w:rsid w:val="47D82566"/>
    <w:rsid w:val="49AF724A"/>
    <w:rsid w:val="4C1707D3"/>
    <w:rsid w:val="4F5E3C3F"/>
    <w:rsid w:val="523E5837"/>
    <w:rsid w:val="525A7F6F"/>
    <w:rsid w:val="554E1413"/>
    <w:rsid w:val="573FB27C"/>
    <w:rsid w:val="57905DB9"/>
    <w:rsid w:val="57A71CB5"/>
    <w:rsid w:val="57D04F5B"/>
    <w:rsid w:val="59BE86E0"/>
    <w:rsid w:val="5A2941DA"/>
    <w:rsid w:val="5A755258"/>
    <w:rsid w:val="5A7B7BA7"/>
    <w:rsid w:val="5C2677D4"/>
    <w:rsid w:val="5CC33572"/>
    <w:rsid w:val="5DE63AFC"/>
    <w:rsid w:val="5E5C0953"/>
    <w:rsid w:val="5F294B2D"/>
    <w:rsid w:val="5FB80F9D"/>
    <w:rsid w:val="60CD433A"/>
    <w:rsid w:val="63BF7C32"/>
    <w:rsid w:val="63C421CF"/>
    <w:rsid w:val="640F607B"/>
    <w:rsid w:val="644D348F"/>
    <w:rsid w:val="6589499B"/>
    <w:rsid w:val="676F196F"/>
    <w:rsid w:val="68F667A8"/>
    <w:rsid w:val="6DD63448"/>
    <w:rsid w:val="6E5252CB"/>
    <w:rsid w:val="6F35349E"/>
    <w:rsid w:val="6F3C211A"/>
    <w:rsid w:val="6F901C7E"/>
    <w:rsid w:val="700E2514"/>
    <w:rsid w:val="70C031D2"/>
    <w:rsid w:val="71355133"/>
    <w:rsid w:val="71F57420"/>
    <w:rsid w:val="721D0945"/>
    <w:rsid w:val="730F7446"/>
    <w:rsid w:val="76DD2EF3"/>
    <w:rsid w:val="772C5186"/>
    <w:rsid w:val="77BD2088"/>
    <w:rsid w:val="780A196C"/>
    <w:rsid w:val="78D30648"/>
    <w:rsid w:val="79D97847"/>
    <w:rsid w:val="79E32474"/>
    <w:rsid w:val="7AA240DD"/>
    <w:rsid w:val="7BC24B9B"/>
    <w:rsid w:val="7C635AEE"/>
    <w:rsid w:val="7DF47D73"/>
    <w:rsid w:val="7E3F7E95"/>
    <w:rsid w:val="7F7F0D55"/>
    <w:rsid w:val="7FBE388E"/>
    <w:rsid w:val="7FD9DE3B"/>
    <w:rsid w:val="7FDFDF22"/>
    <w:rsid w:val="A1D76DEC"/>
    <w:rsid w:val="BFE7780D"/>
    <w:rsid w:val="C76153D1"/>
    <w:rsid w:val="DB7F2026"/>
    <w:rsid w:val="DDF76CAD"/>
    <w:rsid w:val="DEDD6643"/>
    <w:rsid w:val="DFEE8875"/>
    <w:rsid w:val="EBFD9B6A"/>
    <w:rsid w:val="FBFE52E0"/>
    <w:rsid w:val="FCBDB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1"/>
    <w:pPr>
      <w:ind w:left="120" w:firstLine="640"/>
    </w:pPr>
    <w:rPr>
      <w:sz w:val="32"/>
      <w:szCs w:val="32"/>
    </w:rPr>
  </w:style>
  <w:style w:type="paragraph" w:styleId="5">
    <w:name w:val="index 4"/>
    <w:basedOn w:val="1"/>
    <w:next w:val="1"/>
    <w:unhideWhenUsed/>
    <w:qFormat/>
    <w:uiPriority w:val="0"/>
    <w:pPr>
      <w:kinsoku w:val="0"/>
      <w:autoSpaceDE w:val="0"/>
      <w:autoSpaceDN w:val="0"/>
      <w:adjustRightInd w:val="0"/>
      <w:snapToGrid w:val="0"/>
      <w:ind w:left="600" w:leftChars="60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2"/>
    <w:basedOn w:val="1"/>
    <w:qFormat/>
    <w:uiPriority w:val="0"/>
    <w:pPr>
      <w:spacing w:after="120" w:line="480" w:lineRule="auto"/>
    </w:pPr>
  </w:style>
  <w:style w:type="paragraph" w:styleId="9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4"/>
    <w:unhideWhenUsed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FollowedHyperlink"/>
    <w:basedOn w:val="13"/>
    <w:qFormat/>
    <w:uiPriority w:val="0"/>
    <w:rPr>
      <w:color w:val="80008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Typewriter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Acronym"/>
    <w:basedOn w:val="13"/>
    <w:qFormat/>
    <w:uiPriority w:val="0"/>
  </w:style>
  <w:style w:type="character" w:styleId="20">
    <w:name w:val="HTML Variable"/>
    <w:basedOn w:val="13"/>
    <w:qFormat/>
    <w:uiPriority w:val="0"/>
  </w:style>
  <w:style w:type="character" w:styleId="21">
    <w:name w:val="Hyperlink"/>
    <w:basedOn w:val="13"/>
    <w:qFormat/>
    <w:uiPriority w:val="0"/>
    <w:rPr>
      <w:color w:val="0000FF"/>
      <w:u w:val="none"/>
    </w:rPr>
  </w:style>
  <w:style w:type="character" w:styleId="22">
    <w:name w:val="HTML Code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Cite"/>
    <w:basedOn w:val="13"/>
    <w:qFormat/>
    <w:uiPriority w:val="0"/>
  </w:style>
  <w:style w:type="character" w:styleId="24">
    <w:name w:val="HTML Keyboard"/>
    <w:basedOn w:val="13"/>
    <w:qFormat/>
    <w:uiPriority w:val="0"/>
    <w:rPr>
      <w:rFonts w:ascii="monospace" w:hAnsi="monospace" w:eastAsia="monospace" w:cs="monospace"/>
      <w:sz w:val="20"/>
    </w:rPr>
  </w:style>
  <w:style w:type="character" w:styleId="25">
    <w:name w:val="HTML Sample"/>
    <w:basedOn w:val="13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590</Words>
  <Characters>689</Characters>
  <Lines>0</Lines>
  <Paragraphs>0</Paragraphs>
  <TotalTime>0</TotalTime>
  <ScaleCrop>false</ScaleCrop>
  <LinksUpToDate>false</LinksUpToDate>
  <CharactersWithSpaces>710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2025-06-25T21:35:00Z</dcterms:created>
  <dc:creator>金旭东</dc:creator>
  <cp:lastModifiedBy>省招</cp:lastModifiedBy>
  <dcterms:modified xsi:type="dcterms:W3CDTF">2026-06-24T08:35:57Z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1D35294D126B48E3B2947E8D2D73B7E1_13</vt:lpwstr>
  </property>
  <property fmtid="{D5CDD505-2E9C-101B-9397-08002B2CF9AE}" pid="4" name="KSOTemplateDocerSaveRecord">
    <vt:lpwstr>eyJoZGlkIjoiMjFlNDcxMzhjZTVlNDBjMzBjMjM4MDQwMDM2MDcyZTEiLCJ1c2VySWQiOiI4ODgyMDUxMzUifQ==</vt:lpwstr>
  </property>
</Properties>
</file>