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7CFDE">
      <w:pPr>
        <w:jc w:val="center"/>
        <w:rPr>
          <w:rFonts w:ascii="Times New Roman" w:hAnsi="Times New Roman" w:eastAsia="宋体" w:cs="Times New Roman"/>
          <w:b/>
          <w:color w:val="auto"/>
          <w:sz w:val="72"/>
          <w:highlight w:val="none"/>
        </w:rPr>
      </w:pPr>
      <w:r>
        <w:rPr>
          <w:rFonts w:hint="eastAsia" w:ascii="Times New Roman" w:hAnsi="Times New Roman" w:eastAsia="宋体" w:cs="Times New Roman"/>
          <w:b/>
          <w:color w:val="auto"/>
          <w:sz w:val="72"/>
          <w:highlight w:val="none"/>
        </w:rPr>
        <w:t>政府采购项目需求表</w:t>
      </w:r>
    </w:p>
    <w:p w14:paraId="33BA6D26">
      <w:pPr>
        <w:keepNext/>
        <w:keepLines/>
        <w:spacing w:before="260" w:after="260" w:line="416" w:lineRule="auto"/>
        <w:outlineLvl w:val="2"/>
        <w:rPr>
          <w:rFonts w:hint="default" w:ascii="Times New Roman" w:hAnsi="Times New Roman" w:eastAsia="宋体" w:cs="Times New Roman"/>
          <w:bCs/>
          <w:color w:val="auto"/>
          <w:sz w:val="32"/>
          <w:szCs w:val="32"/>
          <w:highlight w:val="none"/>
          <w:lang w:val="en-US" w:eastAsia="zh-CN"/>
        </w:rPr>
      </w:pPr>
      <w:r>
        <w:rPr>
          <w:rFonts w:hint="eastAsia" w:ascii="Times New Roman" w:hAnsi="Times New Roman" w:eastAsia="宋体" w:cs="Times New Roman"/>
          <w:bCs/>
          <w:color w:val="auto"/>
          <w:sz w:val="32"/>
          <w:szCs w:val="32"/>
          <w:highlight w:val="none"/>
          <w:lang w:val="en-US" w:eastAsia="zh-CN"/>
        </w:rPr>
        <w:t>第一部分</w:t>
      </w:r>
      <w:r>
        <w:rPr>
          <w:rFonts w:hint="eastAsia" w:ascii="Times New Roman" w:hAnsi="Times New Roman" w:eastAsia="宋体" w:cs="Times New Roman"/>
          <w:bCs/>
          <w:color w:val="auto"/>
          <w:sz w:val="32"/>
          <w:szCs w:val="32"/>
          <w:highlight w:val="none"/>
        </w:rPr>
        <w:t>、</w:t>
      </w:r>
      <w:r>
        <w:rPr>
          <w:rFonts w:hint="eastAsia" w:ascii="Times New Roman" w:hAnsi="Times New Roman" w:eastAsia="宋体" w:cs="Times New Roman"/>
          <w:bCs/>
          <w:color w:val="auto"/>
          <w:sz w:val="32"/>
          <w:szCs w:val="32"/>
          <w:highlight w:val="none"/>
          <w:lang w:val="en-US" w:eastAsia="zh-CN"/>
        </w:rPr>
        <w:t>项目基本情况</w:t>
      </w:r>
    </w:p>
    <w:tbl>
      <w:tblPr>
        <w:tblStyle w:val="18"/>
        <w:tblW w:w="58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6"/>
        <w:gridCol w:w="7287"/>
      </w:tblGrid>
      <w:tr w14:paraId="67027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350" w:type="pct"/>
            <w:vAlign w:val="center"/>
          </w:tcPr>
          <w:p w14:paraId="401C0AA7">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项目名称</w:t>
            </w:r>
          </w:p>
        </w:tc>
        <w:tc>
          <w:tcPr>
            <w:tcW w:w="3649" w:type="pct"/>
            <w:vAlign w:val="center"/>
          </w:tcPr>
          <w:p w14:paraId="6DE8B99E">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阜阳师范大学2026年学生公寓智能控电项目</w:t>
            </w:r>
          </w:p>
        </w:tc>
      </w:tr>
      <w:tr w14:paraId="16F7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1C9F0289">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项目预算</w:t>
            </w:r>
          </w:p>
        </w:tc>
        <w:tc>
          <w:tcPr>
            <w:tcW w:w="3649" w:type="pct"/>
            <w:vAlign w:val="center"/>
          </w:tcPr>
          <w:p w14:paraId="440E4A94">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rPr>
            </w:pPr>
            <w:r>
              <w:rPr>
                <w:rFonts w:hint="eastAsia" w:ascii="宋体" w:hAnsi="宋体" w:eastAsia="宋体" w:cs="Times New Roman"/>
                <w:color w:val="auto"/>
                <w:sz w:val="24"/>
                <w:szCs w:val="24"/>
                <w:highlight w:val="none"/>
                <w:u w:val="none"/>
                <w:lang w:val="en-US" w:eastAsia="zh-CN"/>
              </w:rPr>
              <w:t>350</w:t>
            </w:r>
            <w:r>
              <w:rPr>
                <w:rFonts w:hint="eastAsia" w:ascii="宋体" w:hAnsi="宋体" w:eastAsia="宋体" w:cs="Times New Roman"/>
                <w:color w:val="auto"/>
                <w:sz w:val="24"/>
                <w:szCs w:val="24"/>
                <w:highlight w:val="none"/>
                <w:u w:val="none"/>
                <w:lang w:eastAsia="zh-CN"/>
              </w:rPr>
              <w:t>万元</w:t>
            </w:r>
          </w:p>
        </w:tc>
      </w:tr>
      <w:tr w14:paraId="69916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350" w:type="pct"/>
            <w:vAlign w:val="center"/>
          </w:tcPr>
          <w:p w14:paraId="59262D26">
            <w:pPr>
              <w:spacing w:line="360" w:lineRule="auto"/>
              <w:jc w:val="center"/>
              <w:rPr>
                <w:rFonts w:hint="eastAsia"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最高限价</w:t>
            </w:r>
          </w:p>
        </w:tc>
        <w:tc>
          <w:tcPr>
            <w:tcW w:w="3649" w:type="pct"/>
            <w:vAlign w:val="center"/>
          </w:tcPr>
          <w:p w14:paraId="46BB39BF">
            <w:pPr>
              <w:autoSpaceDE w:val="0"/>
              <w:autoSpaceDN w:val="0"/>
              <w:adjustRightInd w:val="0"/>
              <w:spacing w:line="360" w:lineRule="auto"/>
              <w:jc w:val="left"/>
              <w:rPr>
                <w:rFonts w:hint="eastAsia" w:ascii="宋体" w:hAnsi="宋体" w:eastAsia="宋体" w:cs="Times New Roman"/>
                <w:color w:val="auto"/>
                <w:sz w:val="24"/>
                <w:szCs w:val="24"/>
                <w:highlight w:val="none"/>
                <w:u w:val="none"/>
                <w:lang w:eastAsia="zh-CN"/>
              </w:rPr>
            </w:pPr>
            <w:r>
              <w:rPr>
                <w:rFonts w:hint="eastAsia" w:ascii="宋体" w:hAnsi="宋体" w:eastAsia="宋体" w:cs="Times New Roman"/>
                <w:color w:val="auto"/>
                <w:sz w:val="24"/>
                <w:szCs w:val="24"/>
                <w:highlight w:val="none"/>
                <w:u w:val="none"/>
                <w:lang w:val="en-US" w:eastAsia="zh-CN"/>
              </w:rPr>
              <w:t>350</w:t>
            </w:r>
            <w:r>
              <w:rPr>
                <w:rFonts w:hint="eastAsia" w:ascii="宋体" w:hAnsi="宋体" w:eastAsia="宋体" w:cs="Times New Roman"/>
                <w:color w:val="auto"/>
                <w:sz w:val="24"/>
                <w:szCs w:val="24"/>
                <w:highlight w:val="none"/>
                <w:u w:val="none"/>
                <w:lang w:eastAsia="zh-CN"/>
              </w:rPr>
              <w:t>万元</w:t>
            </w:r>
          </w:p>
        </w:tc>
      </w:tr>
      <w:tr w14:paraId="18B3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0890A93F">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项目概况</w:t>
            </w:r>
          </w:p>
        </w:tc>
        <w:tc>
          <w:tcPr>
            <w:tcW w:w="3649" w:type="pct"/>
            <w:vAlign w:val="center"/>
          </w:tcPr>
          <w:p w14:paraId="0BBBA91F">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本项目拟对西湖校区一区1–9号楼、二区1–8号楼、三区1–9号楼</w:t>
            </w:r>
            <w:r>
              <w:rPr>
                <w:rFonts w:hint="eastAsia" w:ascii="宋体" w:hAnsi="宋体" w:eastAsia="宋体" w:cs="Times New Roman"/>
                <w:color w:val="auto"/>
                <w:sz w:val="24"/>
                <w:szCs w:val="24"/>
                <w:highlight w:val="none"/>
                <w:u w:val="none"/>
                <w:lang w:val="en-US" w:eastAsia="zh-CN"/>
              </w:rPr>
              <w:t>学生公寓</w:t>
            </w:r>
            <w:r>
              <w:rPr>
                <w:rFonts w:hint="eastAsia" w:ascii="宋体" w:hAnsi="宋体" w:eastAsia="宋体" w:cs="Times New Roman"/>
                <w:color w:val="auto"/>
                <w:sz w:val="24"/>
                <w:szCs w:val="24"/>
                <w:highlight w:val="none"/>
                <w:u w:val="none"/>
              </w:rPr>
              <w:t>、清河校区西清苑1–7号楼、东清苑1–6号楼</w:t>
            </w:r>
            <w:r>
              <w:rPr>
                <w:rFonts w:hint="eastAsia" w:ascii="宋体" w:hAnsi="宋体" w:eastAsia="宋体" w:cs="Times New Roman"/>
                <w:color w:val="auto"/>
                <w:sz w:val="24"/>
                <w:szCs w:val="24"/>
                <w:highlight w:val="none"/>
                <w:u w:val="none"/>
                <w:lang w:val="en-US" w:eastAsia="zh-CN"/>
              </w:rPr>
              <w:t>学生公寓、三里桥校园所有学生公寓</w:t>
            </w:r>
            <w:r>
              <w:rPr>
                <w:rFonts w:hint="eastAsia" w:ascii="宋体" w:hAnsi="宋体" w:eastAsia="宋体" w:cs="Times New Roman"/>
                <w:color w:val="auto"/>
                <w:sz w:val="24"/>
                <w:szCs w:val="24"/>
                <w:highlight w:val="none"/>
                <w:u w:val="none"/>
              </w:rPr>
              <w:t>等，淘汰老旧控电设备与线路，更新智能控电电表、负载识别模块及管理系统，消除安全隐患，实现精细化用电管控。</w:t>
            </w:r>
          </w:p>
        </w:tc>
      </w:tr>
      <w:tr w14:paraId="53D45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350" w:type="pct"/>
            <w:vAlign w:val="center"/>
          </w:tcPr>
          <w:p w14:paraId="137A552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采购方式</w:t>
            </w:r>
          </w:p>
        </w:tc>
        <w:tc>
          <w:tcPr>
            <w:tcW w:w="3649" w:type="pct"/>
            <w:vAlign w:val="center"/>
          </w:tcPr>
          <w:p w14:paraId="24C26EB0">
            <w:pPr>
              <w:autoSpaceDE w:val="0"/>
              <w:autoSpaceDN w:val="0"/>
              <w:adjustRightInd w:val="0"/>
              <w:spacing w:line="360" w:lineRule="auto"/>
              <w:jc w:val="left"/>
              <w:rPr>
                <w:rFonts w:ascii="宋体" w:hAnsi="宋体" w:eastAsia="宋体" w:cs="Times New Roman"/>
                <w:color w:val="auto"/>
                <w:sz w:val="24"/>
                <w:szCs w:val="24"/>
                <w:highlight w:val="none"/>
                <w:u w:val="none"/>
              </w:rPr>
            </w:pPr>
            <w:r>
              <w:rPr>
                <w:rFonts w:ascii="宋体" w:hAnsi="宋体" w:eastAsia="宋体" w:cs="Times New Roman"/>
                <w:color w:val="auto"/>
                <w:sz w:val="24"/>
                <w:szCs w:val="24"/>
                <w:highlight w:val="none"/>
                <w:u w:val="none"/>
              </w:rPr>
              <w:t>公开招标</w:t>
            </w:r>
          </w:p>
        </w:tc>
      </w:tr>
      <w:tr w14:paraId="76EE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350" w:type="pct"/>
            <w:vAlign w:val="center"/>
          </w:tcPr>
          <w:p w14:paraId="1E60E1EB">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包别划分</w:t>
            </w:r>
          </w:p>
        </w:tc>
        <w:tc>
          <w:tcPr>
            <w:tcW w:w="3649" w:type="pct"/>
            <w:vAlign w:val="center"/>
          </w:tcPr>
          <w:p w14:paraId="287941BC">
            <w:pPr>
              <w:autoSpaceDE w:val="0"/>
              <w:autoSpaceDN w:val="0"/>
              <w:adjustRightInd w:val="0"/>
              <w:spacing w:line="360" w:lineRule="auto"/>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1个包</w:t>
            </w:r>
          </w:p>
        </w:tc>
      </w:tr>
      <w:tr w14:paraId="345E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1350" w:type="pct"/>
            <w:vAlign w:val="center"/>
          </w:tcPr>
          <w:p w14:paraId="49A51E31">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投标人资格要求</w:t>
            </w:r>
          </w:p>
        </w:tc>
        <w:tc>
          <w:tcPr>
            <w:tcW w:w="3649" w:type="pct"/>
            <w:vAlign w:val="center"/>
          </w:tcPr>
          <w:p w14:paraId="3279B355">
            <w:pPr>
              <w:spacing w:line="36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1.满足《中华人民共和国政府采购法》第二十二条规定。</w:t>
            </w:r>
          </w:p>
          <w:p w14:paraId="52B6F795">
            <w:pPr>
              <w:spacing w:line="36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2.落实政府采购政策需满足的资格要求：本项目专门面向中小企业采购，投标人提供的货物全部由符合政策要求的中小企业制造。</w:t>
            </w:r>
          </w:p>
          <w:p w14:paraId="0A04B075">
            <w:pPr>
              <w:spacing w:line="360" w:lineRule="auto"/>
              <w:rPr>
                <w:rFonts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u w:val="none"/>
              </w:rPr>
              <w:t>3.本项目的特定资格要求：无。</w:t>
            </w:r>
          </w:p>
        </w:tc>
      </w:tr>
      <w:tr w14:paraId="7CC6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350" w:type="pct"/>
            <w:vAlign w:val="center"/>
          </w:tcPr>
          <w:p w14:paraId="03401C70">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是否专门面向中小企业</w:t>
            </w:r>
          </w:p>
        </w:tc>
        <w:tc>
          <w:tcPr>
            <w:tcW w:w="3649" w:type="pct"/>
            <w:vAlign w:val="center"/>
          </w:tcPr>
          <w:p w14:paraId="4BFEE3D1">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是</w:t>
            </w:r>
          </w:p>
        </w:tc>
      </w:tr>
      <w:tr w14:paraId="1B21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350" w:type="pct"/>
            <w:vAlign w:val="center"/>
          </w:tcPr>
          <w:p w14:paraId="2DD411C2">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是否接受联合体投标</w:t>
            </w:r>
          </w:p>
        </w:tc>
        <w:tc>
          <w:tcPr>
            <w:tcW w:w="3649" w:type="pct"/>
            <w:vAlign w:val="center"/>
          </w:tcPr>
          <w:p w14:paraId="4B660F09">
            <w:pPr>
              <w:spacing w:line="360" w:lineRule="auto"/>
              <w:rPr>
                <w:rFonts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否</w:t>
            </w:r>
          </w:p>
        </w:tc>
      </w:tr>
      <w:tr w14:paraId="415C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350" w:type="pct"/>
            <w:vAlign w:val="center"/>
          </w:tcPr>
          <w:p w14:paraId="0C210AAA">
            <w:pPr>
              <w:spacing w:line="360" w:lineRule="auto"/>
              <w:jc w:val="center"/>
              <w:rPr>
                <w:rFonts w:ascii="宋体" w:hAnsi="宋体" w:eastAsia="宋体" w:cs="Times New Roman"/>
                <w:b/>
                <w:color w:val="auto"/>
                <w:sz w:val="24"/>
                <w:szCs w:val="24"/>
                <w:highlight w:val="none"/>
                <w:u w:val="none"/>
              </w:rPr>
            </w:pPr>
            <w:r>
              <w:rPr>
                <w:rFonts w:hint="eastAsia" w:ascii="宋体" w:hAnsi="宋体" w:eastAsia="宋体" w:cs="Times New Roman"/>
                <w:b/>
                <w:color w:val="auto"/>
                <w:sz w:val="24"/>
                <w:szCs w:val="24"/>
                <w:highlight w:val="none"/>
                <w:u w:val="none"/>
              </w:rPr>
              <w:t>拟采用的评标办法</w:t>
            </w:r>
          </w:p>
        </w:tc>
        <w:tc>
          <w:tcPr>
            <w:tcW w:w="3649" w:type="pct"/>
            <w:vAlign w:val="center"/>
          </w:tcPr>
          <w:p w14:paraId="338C0A43">
            <w:pPr>
              <w:autoSpaceDE w:val="0"/>
              <w:autoSpaceDN w:val="0"/>
              <w:adjustRightInd w:val="0"/>
              <w:spacing w:line="360" w:lineRule="auto"/>
              <w:jc w:val="left"/>
              <w:rPr>
                <w:rFonts w:hint="default"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rPr>
              <w:t>综合评分法</w:t>
            </w:r>
          </w:p>
        </w:tc>
      </w:tr>
    </w:tbl>
    <w:p w14:paraId="1EB7966B">
      <w:pPr>
        <w:rPr>
          <w:rFonts w:hint="eastAsia" w:ascii="Times New Roman" w:hAnsi="Times New Roman" w:eastAsia="宋体" w:cs="Times New Roman"/>
          <w:bCs/>
          <w:color w:val="auto"/>
          <w:sz w:val="32"/>
          <w:szCs w:val="32"/>
          <w:highlight w:val="none"/>
          <w:lang w:val="en-US" w:eastAsia="zh-CN"/>
        </w:rPr>
      </w:pPr>
      <w:r>
        <w:rPr>
          <w:rFonts w:hint="eastAsia" w:ascii="Times New Roman" w:hAnsi="Times New Roman" w:eastAsia="宋体" w:cs="Times New Roman"/>
          <w:bCs/>
          <w:color w:val="auto"/>
          <w:sz w:val="32"/>
          <w:szCs w:val="32"/>
          <w:highlight w:val="none"/>
          <w:lang w:val="en-US" w:eastAsia="zh-CN"/>
        </w:rPr>
        <w:br w:type="page"/>
      </w:r>
    </w:p>
    <w:p w14:paraId="25221AF9">
      <w:pPr>
        <w:keepNext/>
        <w:keepLines/>
        <w:spacing w:before="260" w:after="260" w:line="416" w:lineRule="auto"/>
        <w:outlineLvl w:val="2"/>
        <w:rPr>
          <w:rFonts w:hint="eastAsia" w:ascii="Times New Roman" w:hAnsi="Times New Roman" w:eastAsia="宋体" w:cs="Times New Roman"/>
          <w:bCs/>
          <w:color w:val="auto"/>
          <w:sz w:val="32"/>
          <w:szCs w:val="32"/>
          <w:highlight w:val="none"/>
        </w:rPr>
      </w:pPr>
      <w:r>
        <w:rPr>
          <w:rFonts w:hint="eastAsia" w:ascii="Times New Roman" w:hAnsi="Times New Roman" w:eastAsia="宋体" w:cs="Times New Roman"/>
          <w:bCs/>
          <w:color w:val="auto"/>
          <w:sz w:val="32"/>
          <w:szCs w:val="32"/>
          <w:highlight w:val="none"/>
          <w:lang w:val="en-US" w:eastAsia="zh-CN"/>
        </w:rPr>
        <w:t>第二部分</w:t>
      </w:r>
      <w:r>
        <w:rPr>
          <w:rFonts w:hint="eastAsia" w:ascii="Times New Roman" w:hAnsi="Times New Roman" w:eastAsia="宋体" w:cs="Times New Roman"/>
          <w:bCs/>
          <w:color w:val="auto"/>
          <w:sz w:val="32"/>
          <w:szCs w:val="32"/>
          <w:highlight w:val="none"/>
        </w:rPr>
        <w:t>、采购需求</w:t>
      </w:r>
    </w:p>
    <w:p w14:paraId="59CD75DB">
      <w:pPr>
        <w:spacing w:line="360" w:lineRule="auto"/>
        <w:rPr>
          <w:rFonts w:ascii="宋体" w:hAnsi="宋体" w:eastAsia="宋体"/>
          <w:b/>
          <w:color w:val="auto"/>
          <w:sz w:val="24"/>
          <w:highlight w:val="none"/>
        </w:rPr>
      </w:pPr>
      <w:r>
        <w:rPr>
          <w:rFonts w:hint="eastAsia" w:ascii="宋体" w:hAnsi="宋体" w:eastAsia="宋体"/>
          <w:b/>
          <w:color w:val="auto"/>
          <w:sz w:val="24"/>
          <w:highlight w:val="none"/>
        </w:rPr>
        <w:t>前注：</w:t>
      </w:r>
    </w:p>
    <w:p w14:paraId="299334F1">
      <w:pPr>
        <w:spacing w:line="360" w:lineRule="auto"/>
        <w:ind w:firstLine="435"/>
        <w:rPr>
          <w:rFonts w:ascii="宋体" w:hAnsi="宋体" w:eastAsia="宋体"/>
          <w:color w:val="auto"/>
          <w:sz w:val="24"/>
          <w:szCs w:val="18"/>
          <w:highlight w:val="none"/>
        </w:rPr>
      </w:pPr>
      <w:r>
        <w:rPr>
          <w:rFonts w:hint="eastAsia" w:ascii="宋体" w:hAnsi="宋体" w:eastAsia="宋体"/>
          <w:color w:val="auto"/>
          <w:sz w:val="24"/>
          <w:highlight w:val="none"/>
        </w:rPr>
        <w:t>1.</w:t>
      </w:r>
      <w:r>
        <w:rPr>
          <w:rFonts w:ascii="宋体" w:hAnsi="宋体" w:eastAsia="宋体"/>
          <w:color w:val="auto"/>
          <w:sz w:val="24"/>
          <w:szCs w:val="18"/>
          <w:highlight w:val="none"/>
        </w:rPr>
        <w:t>根据《</w:t>
      </w:r>
      <w:r>
        <w:rPr>
          <w:rFonts w:hint="eastAsia" w:ascii="宋体" w:hAnsi="宋体" w:eastAsia="宋体"/>
          <w:color w:val="auto"/>
          <w:sz w:val="24"/>
          <w:szCs w:val="18"/>
          <w:highlight w:val="none"/>
        </w:rPr>
        <w:t>政府采购进口产品管理办法</w:t>
      </w:r>
      <w:r>
        <w:rPr>
          <w:rFonts w:ascii="宋体" w:hAnsi="宋体" w:eastAsia="宋体"/>
          <w:color w:val="auto"/>
          <w:sz w:val="24"/>
          <w:szCs w:val="18"/>
          <w:highlight w:val="none"/>
        </w:rPr>
        <w:t>》及政府采购管理部门的相关规定，下列采购需求中</w:t>
      </w:r>
      <w:r>
        <w:rPr>
          <w:rFonts w:hint="eastAsia" w:ascii="宋体" w:hAnsi="宋体" w:eastAsia="宋体"/>
          <w:color w:val="auto"/>
          <w:sz w:val="24"/>
          <w:szCs w:val="18"/>
          <w:highlight w:val="none"/>
        </w:rPr>
        <w:t>标注进口产品的货物均</w:t>
      </w:r>
      <w:r>
        <w:rPr>
          <w:rFonts w:ascii="宋体" w:hAnsi="宋体" w:eastAsia="宋体"/>
          <w:color w:val="auto"/>
          <w:sz w:val="24"/>
          <w:szCs w:val="18"/>
          <w:highlight w:val="none"/>
        </w:rPr>
        <w:t>已履行相关论证手续，经核准采购进口</w:t>
      </w:r>
      <w:r>
        <w:rPr>
          <w:rFonts w:hint="eastAsia" w:ascii="宋体" w:hAnsi="宋体" w:eastAsia="宋体"/>
          <w:color w:val="auto"/>
          <w:sz w:val="24"/>
          <w:szCs w:val="18"/>
          <w:highlight w:val="none"/>
        </w:rPr>
        <w:t>产品</w:t>
      </w:r>
      <w:r>
        <w:rPr>
          <w:rFonts w:ascii="宋体" w:hAnsi="宋体" w:eastAsia="宋体"/>
          <w:color w:val="auto"/>
          <w:sz w:val="24"/>
          <w:szCs w:val="18"/>
          <w:highlight w:val="none"/>
        </w:rPr>
        <w:t>，但不限制满足招标文件要求的国内产品参与竞争</w:t>
      </w:r>
      <w:r>
        <w:rPr>
          <w:rFonts w:hint="eastAsia" w:ascii="宋体" w:hAnsi="宋体" w:eastAsia="宋体"/>
          <w:color w:val="auto"/>
          <w:sz w:val="24"/>
          <w:szCs w:val="18"/>
          <w:highlight w:val="none"/>
        </w:rPr>
        <w:t>。未标注进口产品的货物均</w:t>
      </w:r>
      <w:r>
        <w:rPr>
          <w:rFonts w:ascii="宋体" w:hAnsi="宋体" w:eastAsia="宋体"/>
          <w:color w:val="auto"/>
          <w:sz w:val="24"/>
          <w:szCs w:val="18"/>
          <w:highlight w:val="none"/>
        </w:rPr>
        <w:t>为拒绝采购进口产品</w:t>
      </w:r>
      <w:r>
        <w:rPr>
          <w:rFonts w:hint="eastAsia" w:ascii="宋体" w:hAnsi="宋体" w:eastAsia="宋体"/>
          <w:color w:val="auto"/>
          <w:sz w:val="24"/>
          <w:szCs w:val="18"/>
          <w:highlight w:val="none"/>
        </w:rPr>
        <w:t>。</w:t>
      </w:r>
    </w:p>
    <w:p w14:paraId="04D31E74">
      <w:pPr>
        <w:spacing w:line="360" w:lineRule="auto"/>
        <w:ind w:firstLine="435"/>
        <w:rPr>
          <w:rFonts w:hint="eastAsia" w:ascii="宋体" w:hAnsi="宋体" w:eastAsia="宋体"/>
          <w:color w:val="auto"/>
          <w:sz w:val="24"/>
          <w:szCs w:val="18"/>
          <w:highlight w:val="none"/>
        </w:rPr>
      </w:pPr>
      <w:r>
        <w:rPr>
          <w:rFonts w:hint="eastAsia" w:ascii="宋体" w:hAnsi="宋体" w:eastAsia="宋体"/>
          <w:color w:val="auto"/>
          <w:sz w:val="24"/>
          <w:szCs w:val="18"/>
          <w:highlight w:val="none"/>
        </w:rPr>
        <w:t>2</w:t>
      </w:r>
      <w:r>
        <w:rPr>
          <w:rFonts w:hint="eastAsia" w:ascii="宋体" w:hAnsi="宋体" w:eastAsia="宋体"/>
          <w:color w:val="auto"/>
          <w:sz w:val="24"/>
          <w:szCs w:val="18"/>
          <w:highlight w:val="none"/>
          <w:lang w:eastAsia="zh-CN"/>
        </w:rPr>
        <w:t>.</w:t>
      </w:r>
      <w:r>
        <w:rPr>
          <w:rFonts w:ascii="宋体" w:hAnsi="宋体" w:eastAsia="宋体" w:cs="宋体"/>
          <w:color w:val="auto"/>
          <w:sz w:val="24"/>
          <w:szCs w:val="24"/>
          <w:highlight w:val="none"/>
        </w:rPr>
        <w:t>政府采购政策（包括但不限于下列具体政策要求</w:t>
      </w:r>
      <w:r>
        <w:rPr>
          <w:rFonts w:hint="eastAsia" w:ascii="宋体" w:hAnsi="宋体" w:eastAsia="宋体" w:cs="宋体"/>
          <w:color w:val="auto"/>
          <w:sz w:val="24"/>
          <w:szCs w:val="24"/>
          <w:highlight w:val="none"/>
          <w:lang w:eastAsia="zh-CN"/>
        </w:rPr>
        <w:t>）</w:t>
      </w:r>
      <w:r>
        <w:rPr>
          <w:rFonts w:hint="eastAsia" w:ascii="宋体" w:hAnsi="宋体" w:eastAsia="宋体"/>
          <w:color w:val="auto"/>
          <w:sz w:val="24"/>
          <w:szCs w:val="18"/>
          <w:highlight w:val="none"/>
        </w:rPr>
        <w:t>：</w:t>
      </w:r>
    </w:p>
    <w:p w14:paraId="12C99C9D">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5D3F0C97">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涉及商品包装和快递包装，投标人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0D094AFC">
      <w:pPr>
        <w:spacing w:line="360" w:lineRule="auto"/>
        <w:ind w:firstLine="435"/>
        <w:rPr>
          <w:rFonts w:hint="eastAsia" w:ascii="宋体" w:hAnsi="宋体" w:eastAsia="宋体"/>
          <w:color w:val="auto"/>
          <w:sz w:val="24"/>
          <w:szCs w:val="18"/>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olor w:val="auto"/>
          <w:sz w:val="24"/>
          <w:szCs w:val="18"/>
          <w:highlight w:val="none"/>
        </w:rPr>
        <w:t>如采购人允许采用分包方式履行合同的，应当明确可以分包履行的相关内容。</w:t>
      </w:r>
    </w:p>
    <w:p w14:paraId="52F396E0">
      <w:pPr>
        <w:spacing w:line="360" w:lineRule="auto"/>
        <w:ind w:firstLine="435"/>
        <w:rPr>
          <w:rFonts w:hint="default" w:ascii="宋体" w:hAnsi="宋体" w:eastAsia="宋体"/>
          <w:b/>
          <w:bCs/>
          <w:color w:val="auto"/>
          <w:sz w:val="24"/>
          <w:szCs w:val="18"/>
          <w:highlight w:val="none"/>
          <w:lang w:val="en-US" w:eastAsia="zh-CN"/>
        </w:rPr>
      </w:pPr>
      <w:r>
        <w:rPr>
          <w:rFonts w:hint="eastAsia" w:ascii="宋体" w:hAnsi="宋体" w:eastAsia="宋体"/>
          <w:b/>
          <w:bCs/>
          <w:color w:val="auto"/>
          <w:sz w:val="24"/>
          <w:szCs w:val="18"/>
          <w:highlight w:val="none"/>
          <w:lang w:val="en-US" w:eastAsia="zh-CN"/>
        </w:rPr>
        <w:t>4.下列采购需求中：标注▲的产品为核心产品（主要中标标的）。</w:t>
      </w:r>
    </w:p>
    <w:p w14:paraId="786E84E8">
      <w:pPr>
        <w:spacing w:line="360" w:lineRule="auto"/>
        <w:ind w:firstLine="437"/>
        <w:outlineLvl w:val="1"/>
        <w:rPr>
          <w:rFonts w:ascii="宋体" w:hAnsi="宋体" w:eastAsia="宋体"/>
          <w:b/>
          <w:color w:val="auto"/>
          <w:sz w:val="24"/>
          <w:szCs w:val="18"/>
          <w:highlight w:val="none"/>
        </w:rPr>
      </w:pPr>
      <w:bookmarkStart w:id="0" w:name="_Toc2554"/>
      <w:bookmarkStart w:id="1" w:name="_Toc32151"/>
      <w:r>
        <w:rPr>
          <w:rFonts w:hint="eastAsia" w:ascii="宋体" w:hAnsi="宋体" w:eastAsia="宋体"/>
          <w:b/>
          <w:color w:val="auto"/>
          <w:sz w:val="24"/>
          <w:szCs w:val="18"/>
          <w:highlight w:val="none"/>
        </w:rPr>
        <w:t>一、采购需求前附表</w:t>
      </w:r>
      <w:bookmarkEnd w:id="0"/>
      <w:bookmarkEnd w:id="1"/>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2032"/>
        <w:gridCol w:w="5484"/>
      </w:tblGrid>
      <w:tr w14:paraId="0F48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noWrap w:val="0"/>
            <w:vAlign w:val="center"/>
          </w:tcPr>
          <w:p w14:paraId="305B6F17">
            <w:pPr>
              <w:pStyle w:val="26"/>
              <w:pBdr>
                <w:bottom w:val="none" w:color="auto" w:sz="0" w:space="0"/>
              </w:pBdr>
              <w:tabs>
                <w:tab w:val="clear" w:pos="4153"/>
                <w:tab w:val="clear" w:pos="8306"/>
              </w:tabs>
              <w:adjustRightInd/>
              <w:spacing w:line="240" w:lineRule="auto"/>
              <w:textAlignment w:val="auto"/>
              <w:rPr>
                <w:rFonts w:ascii="宋体" w:hAnsi="宋体" w:eastAsia="宋体"/>
                <w:b/>
                <w:color w:val="auto"/>
                <w:kern w:val="2"/>
                <w:highlight w:val="none"/>
              </w:rPr>
            </w:pPr>
            <w:r>
              <w:rPr>
                <w:rFonts w:hint="eastAsia" w:ascii="宋体" w:hAnsi="宋体" w:eastAsia="宋体"/>
                <w:b/>
                <w:color w:val="auto"/>
                <w:kern w:val="2"/>
                <w:highlight w:val="none"/>
              </w:rPr>
              <w:t>序号</w:t>
            </w:r>
          </w:p>
        </w:tc>
        <w:tc>
          <w:tcPr>
            <w:tcW w:w="1192" w:type="pct"/>
            <w:noWrap w:val="0"/>
            <w:vAlign w:val="center"/>
          </w:tcPr>
          <w:p w14:paraId="4BCDC7A9">
            <w:pPr>
              <w:pStyle w:val="27"/>
              <w:widowControl w:val="0"/>
              <w:spacing w:before="0" w:beforeAutospacing="0" w:after="0" w:afterAutospacing="0" w:line="360" w:lineRule="auto"/>
              <w:rPr>
                <w:rFonts w:ascii="宋体" w:hAnsi="宋体" w:eastAsia="宋体"/>
                <w:bCs w:val="0"/>
                <w:color w:val="auto"/>
                <w:sz w:val="24"/>
                <w:highlight w:val="none"/>
              </w:rPr>
            </w:pPr>
            <w:r>
              <w:rPr>
                <w:rFonts w:hint="eastAsia" w:ascii="宋体" w:hAnsi="宋体" w:eastAsia="宋体"/>
                <w:bCs w:val="0"/>
                <w:color w:val="auto"/>
                <w:sz w:val="24"/>
                <w:highlight w:val="none"/>
              </w:rPr>
              <w:t>条款名称</w:t>
            </w:r>
          </w:p>
        </w:tc>
        <w:tc>
          <w:tcPr>
            <w:tcW w:w="3217" w:type="pct"/>
            <w:noWrap w:val="0"/>
            <w:vAlign w:val="center"/>
          </w:tcPr>
          <w:p w14:paraId="6F2CE5D0">
            <w:pPr>
              <w:pStyle w:val="27"/>
              <w:widowControl w:val="0"/>
              <w:spacing w:before="0" w:beforeAutospacing="0" w:after="0" w:afterAutospacing="0" w:line="360" w:lineRule="auto"/>
              <w:rPr>
                <w:rFonts w:ascii="宋体" w:hAnsi="宋体" w:eastAsia="宋体"/>
                <w:bCs w:val="0"/>
                <w:color w:val="auto"/>
                <w:sz w:val="24"/>
                <w:highlight w:val="none"/>
              </w:rPr>
            </w:pPr>
            <w:r>
              <w:rPr>
                <w:rFonts w:hint="eastAsia" w:ascii="宋体" w:hAnsi="宋体" w:eastAsia="宋体"/>
                <w:bCs w:val="0"/>
                <w:color w:val="auto"/>
                <w:sz w:val="24"/>
                <w:highlight w:val="none"/>
              </w:rPr>
              <w:t>内容、说明与要求</w:t>
            </w:r>
          </w:p>
        </w:tc>
      </w:tr>
      <w:tr w14:paraId="5AC8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noWrap w:val="0"/>
            <w:vAlign w:val="center"/>
          </w:tcPr>
          <w:p w14:paraId="12FFED63">
            <w:pPr>
              <w:pStyle w:val="26"/>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1</w:t>
            </w:r>
          </w:p>
        </w:tc>
        <w:tc>
          <w:tcPr>
            <w:tcW w:w="1192" w:type="pct"/>
            <w:noWrap w:val="0"/>
            <w:vAlign w:val="center"/>
          </w:tcPr>
          <w:p w14:paraId="6243A659">
            <w:pPr>
              <w:pStyle w:val="27"/>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付款方式</w:t>
            </w:r>
          </w:p>
        </w:tc>
        <w:tc>
          <w:tcPr>
            <w:tcW w:w="3217" w:type="pct"/>
            <w:noWrap w:val="0"/>
            <w:vAlign w:val="center"/>
          </w:tcPr>
          <w:p w14:paraId="36437C2E">
            <w:pPr>
              <w:pStyle w:val="27"/>
              <w:widowControl w:val="0"/>
              <w:spacing w:before="0" w:beforeAutospacing="0" w:after="0" w:afterAutospacing="0" w:line="360" w:lineRule="auto"/>
              <w:jc w:val="both"/>
              <w:rPr>
                <w:rFonts w:ascii="宋体" w:hAnsi="宋体" w:eastAsia="宋体"/>
                <w:b w:val="0"/>
                <w:color w:val="auto"/>
                <w:sz w:val="24"/>
                <w:highlight w:val="none"/>
                <w:u w:val="none"/>
              </w:rPr>
            </w:pPr>
            <w:r>
              <w:rPr>
                <w:rFonts w:hint="eastAsia" w:ascii="宋体" w:hAnsi="宋体" w:eastAsia="宋体"/>
                <w:b w:val="0"/>
                <w:color w:val="auto"/>
                <w:sz w:val="24"/>
                <w:highlight w:val="none"/>
                <w:u w:val="none"/>
              </w:rPr>
              <w:t>供货安装调试完毕经验收合格后一次性付款。</w:t>
            </w:r>
          </w:p>
        </w:tc>
      </w:tr>
      <w:tr w14:paraId="5460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noWrap w:val="0"/>
            <w:vAlign w:val="center"/>
          </w:tcPr>
          <w:p w14:paraId="2665598F">
            <w:pPr>
              <w:pStyle w:val="26"/>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2</w:t>
            </w:r>
          </w:p>
        </w:tc>
        <w:tc>
          <w:tcPr>
            <w:tcW w:w="1192" w:type="pct"/>
            <w:noWrap w:val="0"/>
            <w:vAlign w:val="center"/>
          </w:tcPr>
          <w:p w14:paraId="40794141">
            <w:pPr>
              <w:pStyle w:val="27"/>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供货及安装地点</w:t>
            </w:r>
          </w:p>
        </w:tc>
        <w:tc>
          <w:tcPr>
            <w:tcW w:w="3217" w:type="pct"/>
            <w:noWrap w:val="0"/>
            <w:vAlign w:val="center"/>
          </w:tcPr>
          <w:p w14:paraId="6BE3ED19">
            <w:pPr>
              <w:pStyle w:val="27"/>
              <w:widowControl w:val="0"/>
              <w:spacing w:before="0" w:beforeAutospacing="0" w:after="0" w:afterAutospacing="0" w:line="360" w:lineRule="auto"/>
              <w:jc w:val="both"/>
              <w:rPr>
                <w:rFonts w:hint="eastAsia" w:ascii="宋体" w:hAnsi="宋体" w:eastAsia="宋体"/>
                <w:b w:val="0"/>
                <w:color w:val="auto"/>
                <w:sz w:val="24"/>
                <w:highlight w:val="none"/>
                <w:u w:val="none"/>
                <w:lang w:eastAsia="zh-CN"/>
              </w:rPr>
            </w:pPr>
            <w:r>
              <w:rPr>
                <w:rFonts w:hint="eastAsia" w:ascii="宋体" w:hAnsi="宋体" w:eastAsia="宋体"/>
                <w:b w:val="0"/>
                <w:color w:val="auto"/>
                <w:sz w:val="24"/>
                <w:highlight w:val="none"/>
                <w:u w:val="none"/>
              </w:rPr>
              <w:t>阜阳师范大学</w:t>
            </w:r>
            <w:r>
              <w:rPr>
                <w:rFonts w:hint="eastAsia" w:ascii="宋体" w:hAnsi="宋体" w:eastAsia="宋体"/>
                <w:b w:val="0"/>
                <w:color w:val="auto"/>
                <w:sz w:val="24"/>
                <w:highlight w:val="none"/>
                <w:u w:val="none"/>
                <w:lang w:val="en-US" w:eastAsia="zh-CN"/>
              </w:rPr>
              <w:t>西湖、清河</w:t>
            </w:r>
            <w:bookmarkStart w:id="6" w:name="_GoBack"/>
            <w:bookmarkEnd w:id="6"/>
            <w:r>
              <w:rPr>
                <w:rFonts w:hint="eastAsia" w:ascii="宋体" w:hAnsi="宋体" w:eastAsia="宋体"/>
                <w:b w:val="0"/>
                <w:color w:val="auto"/>
                <w:sz w:val="24"/>
                <w:highlight w:val="none"/>
                <w:u w:val="none"/>
              </w:rPr>
              <w:t>校区</w:t>
            </w:r>
            <w:r>
              <w:rPr>
                <w:rFonts w:hint="eastAsia" w:ascii="宋体" w:hAnsi="宋体" w:eastAsia="宋体"/>
                <w:b w:val="0"/>
                <w:color w:val="auto"/>
                <w:sz w:val="24"/>
                <w:highlight w:val="none"/>
                <w:u w:val="none"/>
                <w:lang w:eastAsia="zh-CN"/>
              </w:rPr>
              <w:t>。</w:t>
            </w:r>
          </w:p>
        </w:tc>
      </w:tr>
      <w:tr w14:paraId="1B554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noWrap w:val="0"/>
            <w:vAlign w:val="center"/>
          </w:tcPr>
          <w:p w14:paraId="6F46119F">
            <w:pPr>
              <w:pStyle w:val="26"/>
              <w:pBdr>
                <w:bottom w:val="none" w:color="auto" w:sz="0" w:space="0"/>
              </w:pBdr>
              <w:tabs>
                <w:tab w:val="clear" w:pos="4153"/>
                <w:tab w:val="clear" w:pos="8306"/>
              </w:tabs>
              <w:adjustRightInd/>
              <w:spacing w:line="240" w:lineRule="auto"/>
              <w:textAlignment w:val="auto"/>
              <w:rPr>
                <w:rFonts w:ascii="宋体" w:hAnsi="宋体" w:eastAsia="宋体"/>
                <w:bCs/>
                <w:color w:val="auto"/>
                <w:kern w:val="2"/>
                <w:highlight w:val="none"/>
              </w:rPr>
            </w:pPr>
            <w:r>
              <w:rPr>
                <w:rFonts w:hint="eastAsia" w:ascii="宋体" w:hAnsi="宋体" w:eastAsia="宋体"/>
                <w:bCs/>
                <w:color w:val="auto"/>
                <w:kern w:val="2"/>
                <w:highlight w:val="none"/>
              </w:rPr>
              <w:t>3</w:t>
            </w:r>
          </w:p>
        </w:tc>
        <w:tc>
          <w:tcPr>
            <w:tcW w:w="1192" w:type="pct"/>
            <w:noWrap w:val="0"/>
            <w:vAlign w:val="center"/>
          </w:tcPr>
          <w:p w14:paraId="4266F257">
            <w:pPr>
              <w:pStyle w:val="27"/>
              <w:widowControl w:val="0"/>
              <w:spacing w:before="0" w:beforeAutospacing="0" w:after="0" w:afterAutospacing="0" w:line="360" w:lineRule="auto"/>
              <w:rPr>
                <w:rFonts w:ascii="宋体" w:hAnsi="宋体" w:eastAsia="宋体"/>
                <w:b w:val="0"/>
                <w:color w:val="auto"/>
                <w:sz w:val="24"/>
                <w:highlight w:val="none"/>
              </w:rPr>
            </w:pPr>
            <w:r>
              <w:rPr>
                <w:rFonts w:hint="eastAsia" w:ascii="宋体" w:hAnsi="宋体" w:eastAsia="宋体"/>
                <w:b w:val="0"/>
                <w:color w:val="auto"/>
                <w:sz w:val="24"/>
                <w:highlight w:val="none"/>
              </w:rPr>
              <w:t>供货及安装期限</w:t>
            </w:r>
          </w:p>
        </w:tc>
        <w:tc>
          <w:tcPr>
            <w:tcW w:w="3217" w:type="pct"/>
            <w:noWrap w:val="0"/>
            <w:vAlign w:val="center"/>
          </w:tcPr>
          <w:p w14:paraId="09C7416D">
            <w:pPr>
              <w:pStyle w:val="27"/>
              <w:widowControl w:val="0"/>
              <w:spacing w:before="0" w:beforeAutospacing="0" w:after="0" w:afterAutospacing="0" w:line="360" w:lineRule="auto"/>
              <w:jc w:val="both"/>
              <w:rPr>
                <w:rFonts w:hint="eastAsia" w:ascii="宋体" w:hAnsi="宋体" w:eastAsia="宋体"/>
                <w:b w:val="0"/>
                <w:color w:val="auto"/>
                <w:sz w:val="24"/>
                <w:highlight w:val="none"/>
                <w:u w:val="none"/>
                <w:lang w:eastAsia="zh-CN"/>
              </w:rPr>
            </w:pPr>
            <w:r>
              <w:rPr>
                <w:rFonts w:hint="eastAsia" w:ascii="宋体" w:hAnsi="宋体" w:eastAsia="宋体"/>
                <w:b w:val="0"/>
                <w:color w:val="auto"/>
                <w:sz w:val="24"/>
                <w:highlight w:val="none"/>
                <w:u w:val="none"/>
              </w:rPr>
              <w:t>合同签订后40日内完成供货并安装调试完毕</w:t>
            </w:r>
            <w:r>
              <w:rPr>
                <w:rFonts w:hint="eastAsia" w:ascii="宋体" w:hAnsi="宋体" w:eastAsia="宋体"/>
                <w:b w:val="0"/>
                <w:color w:val="auto"/>
                <w:sz w:val="24"/>
                <w:highlight w:val="none"/>
                <w:u w:val="none"/>
                <w:lang w:eastAsia="zh-CN"/>
              </w:rPr>
              <w:t>。</w:t>
            </w:r>
          </w:p>
        </w:tc>
      </w:tr>
      <w:tr w14:paraId="4B4E4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0" w:type="pct"/>
            <w:noWrap w:val="0"/>
            <w:vAlign w:val="center"/>
          </w:tcPr>
          <w:p w14:paraId="2F6D26DB">
            <w:pPr>
              <w:pStyle w:val="26"/>
              <w:pBdr>
                <w:bottom w:val="none" w:color="auto" w:sz="0" w:space="0"/>
              </w:pBdr>
              <w:tabs>
                <w:tab w:val="clear" w:pos="4153"/>
                <w:tab w:val="clear" w:pos="8306"/>
              </w:tabs>
              <w:adjustRightInd/>
              <w:spacing w:line="240" w:lineRule="auto"/>
              <w:textAlignment w:val="auto"/>
              <w:rPr>
                <w:rFonts w:hint="eastAsia" w:ascii="宋体" w:hAnsi="宋体" w:eastAsia="宋体"/>
                <w:bCs/>
                <w:color w:val="auto"/>
                <w:kern w:val="2"/>
                <w:highlight w:val="none"/>
                <w:lang w:val="en-US" w:eastAsia="zh-CN"/>
              </w:rPr>
            </w:pPr>
            <w:r>
              <w:rPr>
                <w:rFonts w:hint="eastAsia" w:ascii="宋体" w:hAnsi="宋体" w:eastAsia="宋体"/>
                <w:bCs/>
                <w:color w:val="auto"/>
                <w:kern w:val="2"/>
                <w:highlight w:val="none"/>
                <w:lang w:val="en-US" w:eastAsia="zh-CN"/>
              </w:rPr>
              <w:t>4</w:t>
            </w:r>
          </w:p>
        </w:tc>
        <w:tc>
          <w:tcPr>
            <w:tcW w:w="1192" w:type="pct"/>
            <w:noWrap w:val="0"/>
            <w:vAlign w:val="center"/>
          </w:tcPr>
          <w:p w14:paraId="4B792988">
            <w:pPr>
              <w:pStyle w:val="27"/>
              <w:widowControl w:val="0"/>
              <w:spacing w:before="0" w:beforeAutospacing="0" w:after="0" w:afterAutospacing="0" w:line="360" w:lineRule="auto"/>
              <w:rPr>
                <w:rFonts w:hint="default" w:ascii="宋体" w:hAnsi="宋体" w:eastAsia="宋体"/>
                <w:b w:val="0"/>
                <w:color w:val="auto"/>
                <w:sz w:val="24"/>
                <w:highlight w:val="none"/>
                <w:lang w:val="en-US" w:eastAsia="zh-CN"/>
              </w:rPr>
            </w:pPr>
            <w:r>
              <w:rPr>
                <w:rFonts w:hint="eastAsia" w:ascii="宋体" w:hAnsi="宋体" w:eastAsia="宋体"/>
                <w:b w:val="0"/>
                <w:color w:val="auto"/>
                <w:sz w:val="24"/>
                <w:highlight w:val="none"/>
                <w:lang w:val="en-US" w:eastAsia="zh-CN"/>
              </w:rPr>
              <w:t>免费质保期</w:t>
            </w:r>
          </w:p>
        </w:tc>
        <w:tc>
          <w:tcPr>
            <w:tcW w:w="3217" w:type="pct"/>
            <w:noWrap w:val="0"/>
            <w:vAlign w:val="center"/>
          </w:tcPr>
          <w:p w14:paraId="30C55BE6">
            <w:pPr>
              <w:pStyle w:val="27"/>
              <w:widowControl w:val="0"/>
              <w:spacing w:before="0" w:beforeAutospacing="0" w:after="0" w:afterAutospacing="0" w:line="360" w:lineRule="auto"/>
              <w:jc w:val="both"/>
              <w:rPr>
                <w:rFonts w:hint="default" w:ascii="宋体" w:hAnsi="宋体" w:eastAsia="宋体"/>
                <w:b w:val="0"/>
                <w:color w:val="auto"/>
                <w:sz w:val="24"/>
                <w:highlight w:val="none"/>
                <w:u w:val="none"/>
                <w:lang w:val="en-US" w:eastAsia="zh-CN"/>
              </w:rPr>
            </w:pPr>
            <w:r>
              <w:rPr>
                <w:rFonts w:hint="default" w:ascii="宋体" w:hAnsi="宋体" w:eastAsia="宋体"/>
                <w:b w:val="0"/>
                <w:color w:val="auto"/>
                <w:sz w:val="24"/>
                <w:highlight w:val="none"/>
                <w:u w:val="none"/>
                <w:lang w:val="en-US" w:eastAsia="zh-CN"/>
              </w:rPr>
              <w:t>验收合格之日起不少于3年，货物需求清单另有规定的，以货物需求清单为准。</w:t>
            </w:r>
          </w:p>
        </w:tc>
      </w:tr>
    </w:tbl>
    <w:p w14:paraId="4AF7C3CD">
      <w:pPr>
        <w:spacing w:line="360" w:lineRule="auto"/>
        <w:ind w:firstLine="437"/>
        <w:outlineLvl w:val="1"/>
        <w:rPr>
          <w:rFonts w:hint="eastAsia" w:ascii="宋体" w:hAnsi="宋体" w:eastAsia="宋体"/>
          <w:b/>
          <w:bCs/>
          <w:color w:val="auto"/>
          <w:sz w:val="24"/>
          <w:szCs w:val="18"/>
          <w:highlight w:val="none"/>
        </w:rPr>
      </w:pPr>
      <w:bookmarkStart w:id="2" w:name="_Toc5944"/>
      <w:bookmarkStart w:id="3" w:name="_Toc7671"/>
    </w:p>
    <w:p w14:paraId="5B3595EA">
      <w:pPr>
        <w:spacing w:line="360" w:lineRule="auto"/>
        <w:ind w:firstLine="437"/>
        <w:outlineLvl w:val="1"/>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二、</w:t>
      </w:r>
      <w:r>
        <w:rPr>
          <w:rFonts w:hint="eastAsia" w:ascii="宋体" w:hAnsi="宋体" w:eastAsia="宋体"/>
          <w:b/>
          <w:color w:val="auto"/>
          <w:sz w:val="24"/>
          <w:szCs w:val="18"/>
          <w:highlight w:val="none"/>
        </w:rPr>
        <w:t>货物</w:t>
      </w:r>
      <w:r>
        <w:rPr>
          <w:rFonts w:hint="eastAsia" w:ascii="宋体" w:hAnsi="宋体" w:eastAsia="宋体"/>
          <w:b/>
          <w:bCs/>
          <w:color w:val="auto"/>
          <w:sz w:val="24"/>
          <w:szCs w:val="18"/>
          <w:highlight w:val="none"/>
        </w:rPr>
        <w:t>需求</w:t>
      </w:r>
      <w:bookmarkEnd w:id="2"/>
      <w:bookmarkEnd w:id="3"/>
    </w:p>
    <w:p w14:paraId="676835E1">
      <w:pPr>
        <w:widowControl/>
        <w:wordWrap/>
        <w:ind w:firstLine="482" w:firstLineChars="200"/>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标识符号</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4"/>
        <w:gridCol w:w="1365"/>
        <w:gridCol w:w="5363"/>
      </w:tblGrid>
      <w:tr w14:paraId="5B20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94" w:type="dxa"/>
            <w:noWrap w:val="0"/>
            <w:vAlign w:val="center"/>
          </w:tcPr>
          <w:p w14:paraId="00B6A1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auto"/>
              <w:ind w:left="0" w:right="0"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标识类型</w:t>
            </w:r>
          </w:p>
        </w:tc>
        <w:tc>
          <w:tcPr>
            <w:tcW w:w="1365" w:type="dxa"/>
            <w:noWrap w:val="0"/>
            <w:vAlign w:val="center"/>
          </w:tcPr>
          <w:p w14:paraId="3FB16B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auto"/>
              <w:ind w:left="0" w:right="0"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标识符号</w:t>
            </w:r>
          </w:p>
        </w:tc>
        <w:tc>
          <w:tcPr>
            <w:tcW w:w="5363" w:type="dxa"/>
            <w:noWrap w:val="0"/>
            <w:vAlign w:val="center"/>
          </w:tcPr>
          <w:p w14:paraId="77697C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auto"/>
              <w:ind w:left="0" w:right="0"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标识符号含义</w:t>
            </w:r>
          </w:p>
        </w:tc>
      </w:tr>
      <w:tr w14:paraId="3A89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794" w:type="dxa"/>
            <w:noWrap w:val="0"/>
            <w:vAlign w:val="center"/>
          </w:tcPr>
          <w:p w14:paraId="0AABB4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auto"/>
              <w:ind w:left="0" w:leftChars="0" w:right="0" w:rightChars="0" w:firstLine="0" w:firstLine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重要指标项</w:t>
            </w:r>
          </w:p>
        </w:tc>
        <w:tc>
          <w:tcPr>
            <w:tcW w:w="1365" w:type="dxa"/>
            <w:noWrap w:val="0"/>
            <w:vAlign w:val="center"/>
          </w:tcPr>
          <w:p w14:paraId="00E46E95">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300" w:lineRule="auto"/>
              <w:ind w:left="0" w:leftChars="0" w:right="0" w:rightChars="0" w:firstLine="0" w:firstLineChars="0"/>
              <w:jc w:val="center"/>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w:t>
            </w:r>
          </w:p>
        </w:tc>
        <w:tc>
          <w:tcPr>
            <w:tcW w:w="5363" w:type="dxa"/>
            <w:noWrap w:val="0"/>
            <w:vAlign w:val="center"/>
          </w:tcPr>
          <w:p w14:paraId="71AC90FB">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300" w:lineRule="auto"/>
              <w:ind w:left="0" w:leftChars="0" w:right="0" w:rightChars="0" w:firstLine="0" w:firstLineChars="0"/>
              <w:jc w:val="left"/>
              <w:textAlignment w:val="auto"/>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评分项，</w:t>
            </w:r>
            <w:r>
              <w:rPr>
                <w:rFonts w:hint="eastAsia" w:ascii="宋体" w:hAnsi="宋体" w:eastAsia="宋体" w:cs="宋体"/>
                <w:color w:val="auto"/>
                <w:kern w:val="2"/>
                <w:sz w:val="24"/>
                <w:szCs w:val="24"/>
                <w:highlight w:val="none"/>
                <w:lang w:val="en-US" w:eastAsia="zh-CN" w:bidi="ar"/>
              </w:rPr>
              <w:t>详见评标办法和标准。</w:t>
            </w:r>
          </w:p>
        </w:tc>
      </w:tr>
      <w:tr w14:paraId="0A65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794" w:type="dxa"/>
            <w:noWrap w:val="0"/>
            <w:vAlign w:val="center"/>
          </w:tcPr>
          <w:p w14:paraId="264CB2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auto"/>
              <w:ind w:left="0" w:right="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无标识项</w:t>
            </w:r>
          </w:p>
        </w:tc>
        <w:tc>
          <w:tcPr>
            <w:tcW w:w="1365" w:type="dxa"/>
            <w:noWrap w:val="0"/>
            <w:vAlign w:val="center"/>
          </w:tcPr>
          <w:p w14:paraId="23A55A53">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line="300" w:lineRule="auto"/>
              <w:ind w:left="0" w:right="0" w:firstLine="0" w:firstLineChars="0"/>
              <w:jc w:val="center"/>
              <w:textAlignment w:val="auto"/>
              <w:rPr>
                <w:rFonts w:hint="eastAsia" w:ascii="宋体" w:hAnsi="宋体" w:eastAsia="宋体" w:cs="宋体"/>
                <w:bCs/>
                <w:color w:val="auto"/>
                <w:sz w:val="24"/>
                <w:szCs w:val="24"/>
                <w:highlight w:val="none"/>
              </w:rPr>
            </w:pPr>
          </w:p>
        </w:tc>
        <w:tc>
          <w:tcPr>
            <w:tcW w:w="5363" w:type="dxa"/>
            <w:noWrap w:val="0"/>
            <w:vAlign w:val="center"/>
          </w:tcPr>
          <w:p w14:paraId="12046725">
            <w:pPr>
              <w:keepNext w:val="0"/>
              <w:keepLines w:val="0"/>
              <w:suppressLineNumbers w:val="0"/>
              <w:adjustRightInd w:val="0"/>
              <w:snapToGrid w:val="0"/>
              <w:spacing w:before="0" w:beforeAutospacing="0" w:after="0" w:afterAutospacing="0" w:line="300" w:lineRule="auto"/>
              <w:ind w:left="0" w:leftChars="0" w:right="0" w:firstLine="0" w:firstLineChars="0"/>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符合性审查项，</w:t>
            </w:r>
            <w:r>
              <w:rPr>
                <w:rFonts w:hint="eastAsia" w:ascii="宋体" w:hAnsi="宋体" w:eastAsia="宋体" w:cs="宋体"/>
                <w:b/>
                <w:bCs w:val="0"/>
                <w:color w:val="auto"/>
                <w:kern w:val="2"/>
                <w:sz w:val="24"/>
                <w:szCs w:val="24"/>
                <w:highlight w:val="none"/>
                <w:lang w:val="en-US" w:eastAsia="zh-CN" w:bidi="ar-SA"/>
              </w:rPr>
              <w:t>该指标项最大允许负偏离</w:t>
            </w:r>
            <w:r>
              <w:rPr>
                <w:rFonts w:hint="eastAsia" w:ascii="宋体" w:hAnsi="宋体" w:eastAsia="宋体" w:cs="宋体"/>
                <w:b/>
                <w:bCs w:val="0"/>
                <w:color w:val="auto"/>
                <w:kern w:val="2"/>
                <w:sz w:val="24"/>
                <w:szCs w:val="24"/>
                <w:highlight w:val="none"/>
                <w:u w:val="single"/>
                <w:lang w:val="en-US" w:eastAsia="zh-CN" w:bidi="ar-SA"/>
              </w:rPr>
              <w:t xml:space="preserve"> 5</w:t>
            </w:r>
            <w:r>
              <w:rPr>
                <w:rFonts w:hint="eastAsia" w:ascii="宋体" w:hAnsi="宋体" w:eastAsia="宋体" w:cs="宋体"/>
                <w:b/>
                <w:bCs w:val="0"/>
                <w:color w:val="auto"/>
                <w:kern w:val="2"/>
                <w:sz w:val="24"/>
                <w:szCs w:val="24"/>
                <w:highlight w:val="none"/>
                <w:lang w:val="en-US" w:eastAsia="zh-CN" w:bidi="ar-SA"/>
              </w:rPr>
              <w:t>项</w:t>
            </w:r>
            <w:r>
              <w:rPr>
                <w:rFonts w:hint="eastAsia" w:ascii="宋体" w:hAnsi="宋体" w:eastAsia="宋体" w:cs="宋体"/>
                <w:bCs/>
                <w:color w:val="auto"/>
                <w:kern w:val="2"/>
                <w:sz w:val="24"/>
                <w:szCs w:val="24"/>
                <w:highlight w:val="none"/>
                <w:lang w:val="en-US" w:eastAsia="zh-CN" w:bidi="ar-SA"/>
              </w:rPr>
              <w:t>，超过最大允许负偏离项数的，</w:t>
            </w:r>
            <w:r>
              <w:rPr>
                <w:rFonts w:hint="eastAsia" w:ascii="宋体" w:hAnsi="宋体" w:eastAsia="宋体" w:cs="宋体"/>
                <w:b/>
                <w:bCs w:val="0"/>
                <w:color w:val="auto"/>
                <w:kern w:val="2"/>
                <w:sz w:val="24"/>
                <w:szCs w:val="24"/>
                <w:highlight w:val="none"/>
                <w:lang w:val="en-US" w:eastAsia="zh-CN" w:bidi="ar-SA"/>
              </w:rPr>
              <w:t>投标无效</w:t>
            </w:r>
            <w:r>
              <w:rPr>
                <w:rFonts w:hint="eastAsia" w:ascii="宋体" w:hAnsi="宋体" w:eastAsia="宋体" w:cs="宋体"/>
                <w:bCs/>
                <w:color w:val="auto"/>
                <w:kern w:val="2"/>
                <w:sz w:val="24"/>
                <w:szCs w:val="24"/>
                <w:highlight w:val="none"/>
                <w:lang w:val="en-US" w:eastAsia="zh-CN" w:bidi="ar-SA"/>
              </w:rPr>
              <w:t>。</w:t>
            </w:r>
          </w:p>
        </w:tc>
      </w:tr>
      <w:tr w14:paraId="32804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8522" w:type="dxa"/>
            <w:gridSpan w:val="3"/>
            <w:noWrap w:val="0"/>
            <w:vAlign w:val="center"/>
          </w:tcPr>
          <w:p w14:paraId="02ABD8C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auto"/>
              <w:ind w:left="0" w:right="0" w:firstLine="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7F6C6391">
            <w:pPr>
              <w:keepNext w:val="0"/>
              <w:keepLines w:val="0"/>
              <w:pageBreakBefore w:val="0"/>
              <w:widowControl w:val="0"/>
              <w:numPr>
                <w:ilvl w:val="0"/>
                <w:numId w:val="0"/>
              </w:numPr>
              <w:suppressLineNumbers w:val="0"/>
              <w:kinsoku/>
              <w:wordWrap/>
              <w:overflowPunct/>
              <w:topLinePunct w:val="0"/>
              <w:autoSpaceDE/>
              <w:autoSpaceDN/>
              <w:bidi w:val="0"/>
              <w:spacing w:before="0" w:beforeAutospacing="0" w:after="0" w:afterAutospacing="0" w:line="30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标识条款中如包含多条子项技术参数或要求，则需满足或优于该标识条款内所有子项技术参数或要求</w:t>
            </w:r>
            <w:r>
              <w:rPr>
                <w:rFonts w:hint="eastAsia" w:ascii="宋体" w:hAnsi="宋体" w:eastAsia="宋体" w:cs="宋体"/>
                <w:color w:val="auto"/>
                <w:sz w:val="24"/>
                <w:szCs w:val="24"/>
                <w:highlight w:val="none"/>
                <w:lang w:val="en-US" w:eastAsia="zh-CN"/>
              </w:rPr>
              <w:t>方予以认可</w:t>
            </w:r>
            <w:r>
              <w:rPr>
                <w:rFonts w:hint="eastAsia" w:ascii="宋体" w:hAnsi="宋体" w:eastAsia="宋体" w:cs="宋体"/>
                <w:color w:val="auto"/>
                <w:sz w:val="24"/>
                <w:szCs w:val="24"/>
                <w:highlight w:val="none"/>
              </w:rPr>
              <w:t>。</w:t>
            </w:r>
          </w:p>
          <w:p w14:paraId="72B15580">
            <w:pPr>
              <w:keepNext w:val="0"/>
              <w:keepLines w:val="0"/>
              <w:pageBreakBefore w:val="0"/>
              <w:widowControl w:val="0"/>
              <w:numPr>
                <w:ilvl w:val="0"/>
                <w:numId w:val="0"/>
              </w:numPr>
              <w:suppressLineNumbers w:val="0"/>
              <w:kinsoku/>
              <w:wordWrap/>
              <w:overflowPunct/>
              <w:topLinePunct w:val="0"/>
              <w:autoSpaceDE/>
              <w:autoSpaceDN/>
              <w:bidi w:val="0"/>
              <w:spacing w:before="0" w:beforeAutospacing="0" w:after="0" w:afterAutospacing="0" w:line="30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kern w:val="0"/>
                <w:sz w:val="24"/>
                <w:szCs w:val="24"/>
                <w:highlight w:val="none"/>
              </w:rPr>
              <w:t>下述技术参数所涉及的具体物理尺寸</w:t>
            </w:r>
            <w:r>
              <w:rPr>
                <w:rFonts w:hint="eastAsia" w:ascii="宋体" w:hAnsi="宋体" w:eastAsia="宋体" w:cs="宋体"/>
                <w:color w:val="auto"/>
                <w:kern w:val="0"/>
                <w:sz w:val="24"/>
                <w:szCs w:val="24"/>
                <w:highlight w:val="none"/>
                <w:lang w:eastAsia="zh-CN"/>
              </w:rPr>
              <w:t>：货物需求清单</w:t>
            </w:r>
            <w:r>
              <w:rPr>
                <w:rFonts w:hint="eastAsia" w:ascii="宋体" w:hAnsi="宋体" w:eastAsia="宋体" w:cs="宋体"/>
                <w:color w:val="auto"/>
                <w:kern w:val="0"/>
                <w:sz w:val="24"/>
                <w:szCs w:val="24"/>
                <w:highlight w:val="none"/>
                <w:lang w:val="en-US" w:eastAsia="zh-CN"/>
              </w:rPr>
              <w:t>中明确允许偏离范围的，按货物需求清单</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kern w:val="0"/>
                <w:sz w:val="24"/>
                <w:szCs w:val="24"/>
                <w:highlight w:val="none"/>
                <w:lang w:val="en-US" w:eastAsia="zh-CN"/>
              </w:rPr>
              <w:t>执行；货物需求清单中未明确允许偏离范围的，</w:t>
            </w:r>
            <w:r>
              <w:rPr>
                <w:rFonts w:hint="eastAsia" w:ascii="宋体" w:hAnsi="宋体" w:eastAsia="宋体" w:cs="宋体"/>
                <w:color w:val="auto"/>
                <w:kern w:val="0"/>
                <w:sz w:val="24"/>
                <w:szCs w:val="24"/>
                <w:highlight w:val="none"/>
              </w:rPr>
              <w:t>允许±5%偏离</w:t>
            </w:r>
            <w:r>
              <w:rPr>
                <w:rFonts w:hint="eastAsia" w:ascii="宋体" w:hAnsi="宋体" w:eastAsia="宋体" w:cs="宋体"/>
                <w:color w:val="auto"/>
                <w:sz w:val="24"/>
                <w:szCs w:val="24"/>
                <w:highlight w:val="none"/>
              </w:rPr>
              <w:t>。</w:t>
            </w:r>
          </w:p>
          <w:p w14:paraId="39D6FC42">
            <w:pPr>
              <w:pStyle w:val="7"/>
              <w:numPr>
                <w:ilvl w:val="0"/>
                <w:numId w:val="1"/>
              </w:numP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针对</w:t>
            </w:r>
            <w:r>
              <w:rPr>
                <w:rFonts w:hint="eastAsia" w:ascii="宋体" w:hAnsi="宋体" w:eastAsia="宋体" w:cs="宋体"/>
                <w:color w:val="auto"/>
                <w:kern w:val="2"/>
                <w:sz w:val="24"/>
                <w:szCs w:val="24"/>
                <w:highlight w:val="none"/>
                <w:lang w:val="en-US" w:eastAsia="zh-CN" w:bidi="ar"/>
              </w:rPr>
              <w:t>货物需求清单中要求提供证明材料的技术参数及要求：未明确证明材料类型的，</w:t>
            </w:r>
            <w:r>
              <w:rPr>
                <w:rFonts w:hint="eastAsia" w:ascii="宋体" w:hAnsi="宋体" w:eastAsia="宋体" w:cs="宋体"/>
                <w:b/>
                <w:bCs/>
                <w:color w:val="auto"/>
                <w:kern w:val="2"/>
                <w:sz w:val="24"/>
                <w:szCs w:val="24"/>
                <w:highlight w:val="none"/>
                <w:lang w:val="en-US" w:eastAsia="zh-CN" w:bidi="ar"/>
              </w:rPr>
              <w:t>证明材料包括但不限于产品技术白皮书、产品技术说明书、产品彩页、产品（软件）功能截图、实物图片、厂家（制造商）官网截图、第三方机构出具的检测报告等（提供其中之一即可）。</w:t>
            </w:r>
            <w:r>
              <w:rPr>
                <w:rFonts w:hint="eastAsia" w:ascii="宋体" w:hAnsi="宋体" w:eastAsia="宋体" w:cs="宋体"/>
                <w:color w:val="auto"/>
                <w:kern w:val="2"/>
                <w:sz w:val="24"/>
                <w:szCs w:val="24"/>
                <w:highlight w:val="none"/>
                <w:lang w:val="en-US" w:eastAsia="zh-CN" w:bidi="ar"/>
              </w:rPr>
              <w:t>未按以上要求提供证明材料的视为负偏离或未响应</w:t>
            </w:r>
            <w:r>
              <w:rPr>
                <w:rFonts w:hint="eastAsia" w:ascii="宋体" w:hAnsi="宋体" w:eastAsia="宋体" w:cs="宋体"/>
                <w:b/>
                <w:bCs w:val="0"/>
                <w:color w:val="auto"/>
                <w:kern w:val="2"/>
                <w:sz w:val="24"/>
                <w:szCs w:val="24"/>
                <w:highlight w:val="none"/>
                <w:lang w:val="en-US" w:eastAsia="zh-CN" w:bidi="ar"/>
              </w:rPr>
              <w:t>（为便于评审，建议投标人对证明材料中的关键参数进行标注）。</w:t>
            </w:r>
          </w:p>
        </w:tc>
      </w:tr>
    </w:tbl>
    <w:p w14:paraId="1828AAFA">
      <w:pPr>
        <w:keepNext w:val="0"/>
        <w:keepLines w:val="0"/>
        <w:pageBreakBefore w:val="0"/>
        <w:widowControl/>
        <w:kinsoku/>
        <w:wordWrap/>
        <w:overflowPunct/>
        <w:topLinePunct w:val="0"/>
        <w:autoSpaceDE/>
        <w:autoSpaceDN/>
        <w:bidi w:val="0"/>
        <w:adjustRightInd/>
        <w:snapToGrid w:val="0"/>
        <w:spacing w:line="360" w:lineRule="auto"/>
        <w:ind w:firstLine="482" w:firstLineChars="200"/>
        <w:textAlignment w:val="auto"/>
        <w:outlineLvl w:val="2"/>
        <w:rPr>
          <w:rFonts w:hint="eastAsia" w:ascii="宋体" w:hAnsi="宋体" w:eastAsia="宋体" w:cs="宋体"/>
          <w:b/>
          <w:bCs/>
          <w:color w:val="auto"/>
          <w:sz w:val="24"/>
          <w:szCs w:val="24"/>
          <w:highlight w:val="none"/>
        </w:rPr>
      </w:pPr>
    </w:p>
    <w:p w14:paraId="491BFE9D">
      <w:pPr>
        <w:keepNext w:val="0"/>
        <w:keepLines w:val="0"/>
        <w:pageBreakBefore w:val="0"/>
        <w:widowControl/>
        <w:kinsoku/>
        <w:wordWrap/>
        <w:overflowPunct/>
        <w:topLinePunct w:val="0"/>
        <w:autoSpaceDE/>
        <w:autoSpaceDN/>
        <w:bidi w:val="0"/>
        <w:adjustRightInd/>
        <w:snapToGrid w:val="0"/>
        <w:spacing w:line="360" w:lineRule="auto"/>
        <w:ind w:firstLine="482" w:firstLineChars="200"/>
        <w:textAlignment w:val="auto"/>
        <w:outlineLvl w:val="2"/>
        <w:rPr>
          <w:rFonts w:hint="eastAsia" w:ascii="宋体" w:hAnsi="宋体" w:eastAsia="宋体"/>
          <w:b/>
          <w:bCs/>
          <w:color w:val="auto"/>
          <w:sz w:val="24"/>
          <w:szCs w:val="18"/>
          <w:highlight w:val="none"/>
        </w:rPr>
      </w:pPr>
      <w:r>
        <w:rPr>
          <w:rFonts w:hint="eastAsia" w:ascii="宋体" w:hAnsi="宋体" w:eastAsia="宋体" w:cs="宋体"/>
          <w:b/>
          <w:bCs/>
          <w:color w:val="auto"/>
          <w:sz w:val="24"/>
          <w:szCs w:val="24"/>
          <w:highlight w:val="none"/>
          <w:lang w:eastAsia="zh-CN"/>
        </w:rPr>
        <w:t>（二）</w:t>
      </w:r>
      <w:r>
        <w:rPr>
          <w:rFonts w:hint="eastAsia" w:ascii="宋体" w:hAnsi="宋体" w:eastAsia="宋体" w:cs="宋体"/>
          <w:b/>
          <w:bCs/>
          <w:color w:val="auto"/>
          <w:sz w:val="24"/>
          <w:szCs w:val="24"/>
          <w:highlight w:val="none"/>
          <w:lang w:val="en-US" w:eastAsia="zh-CN"/>
        </w:rPr>
        <w:t>货物需求</w:t>
      </w:r>
      <w:r>
        <w:rPr>
          <w:rFonts w:hint="eastAsia" w:ascii="宋体" w:hAnsi="宋体" w:eastAsia="宋体" w:cs="宋体"/>
          <w:b/>
          <w:bCs/>
          <w:color w:val="auto"/>
          <w:sz w:val="24"/>
          <w:szCs w:val="24"/>
          <w:highlight w:val="none"/>
        </w:rPr>
        <w:t>清单</w:t>
      </w:r>
    </w:p>
    <w:tbl>
      <w:tblPr>
        <w:tblStyle w:val="18"/>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1251"/>
        <w:gridCol w:w="4634"/>
        <w:gridCol w:w="1083"/>
        <w:gridCol w:w="813"/>
      </w:tblGrid>
      <w:tr w14:paraId="32F2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noWrap w:val="0"/>
            <w:vAlign w:val="center"/>
          </w:tcPr>
          <w:p w14:paraId="1421D318">
            <w:pPr>
              <w:spacing w:line="360" w:lineRule="auto"/>
              <w:jc w:val="center"/>
              <w:rPr>
                <w:rFonts w:ascii="宋体" w:hAnsi="宋体" w:eastAsia="宋体"/>
                <w:b/>
                <w:bCs/>
                <w:color w:val="auto"/>
                <w:sz w:val="24"/>
                <w:szCs w:val="18"/>
                <w:highlight w:val="none"/>
              </w:rPr>
            </w:pPr>
            <w:r>
              <w:rPr>
                <w:rFonts w:hint="eastAsia" w:ascii="宋体" w:hAnsi="宋体" w:eastAsia="宋体"/>
                <w:b/>
                <w:bCs/>
                <w:color w:val="auto"/>
                <w:sz w:val="24"/>
                <w:szCs w:val="18"/>
                <w:highlight w:val="none"/>
              </w:rPr>
              <w:t>序号</w:t>
            </w:r>
          </w:p>
        </w:tc>
        <w:tc>
          <w:tcPr>
            <w:tcW w:w="731" w:type="pct"/>
            <w:noWrap w:val="0"/>
            <w:vAlign w:val="center"/>
          </w:tcPr>
          <w:p w14:paraId="2C65AD2A">
            <w:pPr>
              <w:spacing w:line="360" w:lineRule="auto"/>
              <w:jc w:val="center"/>
              <w:rPr>
                <w:rFonts w:ascii="宋体" w:hAnsi="宋体" w:eastAsia="宋体"/>
                <w:b/>
                <w:bCs/>
                <w:color w:val="auto"/>
                <w:sz w:val="24"/>
                <w:szCs w:val="18"/>
                <w:highlight w:val="none"/>
              </w:rPr>
            </w:pPr>
            <w:r>
              <w:rPr>
                <w:rFonts w:hint="eastAsia" w:ascii="宋体" w:hAnsi="宋体" w:eastAsia="宋体"/>
                <w:b/>
                <w:bCs/>
                <w:color w:val="auto"/>
                <w:sz w:val="24"/>
                <w:szCs w:val="18"/>
                <w:highlight w:val="none"/>
              </w:rPr>
              <w:t>货物名称</w:t>
            </w:r>
          </w:p>
        </w:tc>
        <w:tc>
          <w:tcPr>
            <w:tcW w:w="2708" w:type="pct"/>
            <w:noWrap w:val="0"/>
            <w:vAlign w:val="center"/>
          </w:tcPr>
          <w:p w14:paraId="7549123C">
            <w:pPr>
              <w:spacing w:line="360" w:lineRule="auto"/>
              <w:jc w:val="center"/>
              <w:rPr>
                <w:rFonts w:ascii="宋体" w:hAnsi="宋体" w:eastAsia="宋体"/>
                <w:b/>
                <w:bCs/>
                <w:color w:val="auto"/>
                <w:sz w:val="24"/>
                <w:szCs w:val="18"/>
                <w:highlight w:val="none"/>
              </w:rPr>
            </w:pPr>
            <w:r>
              <w:rPr>
                <w:rFonts w:hint="eastAsia" w:ascii="宋体" w:hAnsi="宋体" w:eastAsia="宋体"/>
                <w:b/>
                <w:bCs/>
                <w:color w:val="auto"/>
                <w:sz w:val="24"/>
                <w:szCs w:val="18"/>
                <w:highlight w:val="none"/>
              </w:rPr>
              <w:t>技术参数及要求</w:t>
            </w:r>
          </w:p>
        </w:tc>
        <w:tc>
          <w:tcPr>
            <w:tcW w:w="633" w:type="pct"/>
            <w:noWrap w:val="0"/>
            <w:vAlign w:val="center"/>
          </w:tcPr>
          <w:p w14:paraId="3174F32D">
            <w:pPr>
              <w:spacing w:line="360" w:lineRule="auto"/>
              <w:jc w:val="center"/>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数量</w:t>
            </w:r>
          </w:p>
          <w:p w14:paraId="2A5EFE33">
            <w:pPr>
              <w:spacing w:line="360" w:lineRule="auto"/>
              <w:jc w:val="center"/>
              <w:rPr>
                <w:rFonts w:ascii="宋体" w:hAnsi="宋体" w:eastAsia="宋体"/>
                <w:b/>
                <w:bCs/>
                <w:color w:val="auto"/>
                <w:sz w:val="24"/>
                <w:szCs w:val="18"/>
                <w:highlight w:val="none"/>
              </w:rPr>
            </w:pPr>
            <w:r>
              <w:rPr>
                <w:rFonts w:hint="eastAsia" w:ascii="宋体" w:hAnsi="宋体" w:eastAsia="宋体"/>
                <w:b/>
                <w:bCs/>
                <w:color w:val="auto"/>
                <w:sz w:val="24"/>
                <w:szCs w:val="18"/>
                <w:highlight w:val="none"/>
              </w:rPr>
              <w:t>（单位）</w:t>
            </w:r>
          </w:p>
        </w:tc>
        <w:tc>
          <w:tcPr>
            <w:tcW w:w="475" w:type="pct"/>
            <w:noWrap w:val="0"/>
            <w:vAlign w:val="center"/>
          </w:tcPr>
          <w:p w14:paraId="2E48ADDD">
            <w:pPr>
              <w:spacing w:line="360" w:lineRule="auto"/>
              <w:jc w:val="center"/>
              <w:rPr>
                <w:rFonts w:hint="eastAsia" w:ascii="宋体" w:hAnsi="宋体" w:eastAsia="宋体"/>
                <w:b/>
                <w:bCs/>
                <w:color w:val="auto"/>
                <w:sz w:val="24"/>
                <w:szCs w:val="18"/>
                <w:highlight w:val="none"/>
              </w:rPr>
            </w:pPr>
            <w:r>
              <w:rPr>
                <w:rFonts w:hint="eastAsia" w:ascii="宋体" w:hAnsi="宋体" w:eastAsia="宋体"/>
                <w:b/>
                <w:bCs/>
                <w:color w:val="auto"/>
                <w:sz w:val="24"/>
                <w:szCs w:val="18"/>
                <w:highlight w:val="none"/>
              </w:rPr>
              <w:t>所属</w:t>
            </w:r>
          </w:p>
          <w:p w14:paraId="14295D75">
            <w:pPr>
              <w:spacing w:line="360" w:lineRule="auto"/>
              <w:jc w:val="center"/>
              <w:rPr>
                <w:rFonts w:ascii="宋体" w:hAnsi="宋体" w:eastAsia="宋体"/>
                <w:b/>
                <w:bCs/>
                <w:color w:val="auto"/>
                <w:sz w:val="24"/>
                <w:szCs w:val="18"/>
                <w:highlight w:val="none"/>
              </w:rPr>
            </w:pPr>
            <w:r>
              <w:rPr>
                <w:rFonts w:hint="eastAsia" w:ascii="宋体" w:hAnsi="宋体" w:eastAsia="宋体"/>
                <w:b/>
                <w:bCs/>
                <w:color w:val="auto"/>
                <w:sz w:val="24"/>
                <w:szCs w:val="18"/>
                <w:highlight w:val="none"/>
              </w:rPr>
              <w:t>行业</w:t>
            </w:r>
          </w:p>
        </w:tc>
      </w:tr>
      <w:tr w14:paraId="4F9E5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451" w:type="pct"/>
            <w:noWrap w:val="0"/>
            <w:vAlign w:val="center"/>
          </w:tcPr>
          <w:p w14:paraId="1E8D1587">
            <w:pPr>
              <w:spacing w:line="360" w:lineRule="auto"/>
              <w:jc w:val="center"/>
              <w:rPr>
                <w:rFonts w:ascii="宋体" w:hAnsi="宋体" w:eastAsia="宋体"/>
                <w:color w:val="auto"/>
                <w:sz w:val="24"/>
                <w:szCs w:val="18"/>
                <w:highlight w:val="none"/>
              </w:rPr>
            </w:pPr>
            <w:r>
              <w:rPr>
                <w:rFonts w:hint="eastAsia" w:ascii="宋体" w:hAnsi="宋体" w:eastAsia="宋体"/>
                <w:color w:val="auto"/>
                <w:sz w:val="24"/>
                <w:szCs w:val="18"/>
                <w:highlight w:val="none"/>
              </w:rPr>
              <w:t>1</w:t>
            </w:r>
          </w:p>
        </w:tc>
        <w:tc>
          <w:tcPr>
            <w:tcW w:w="731" w:type="pct"/>
            <w:noWrap w:val="0"/>
            <w:vAlign w:val="center"/>
          </w:tcPr>
          <w:p w14:paraId="2C01829A">
            <w:pPr>
              <w:keepNext w:val="0"/>
              <w:keepLines w:val="0"/>
              <w:widowControl/>
              <w:suppressLineNumbers w:val="0"/>
              <w:jc w:val="center"/>
              <w:textAlignment w:val="center"/>
              <w:rPr>
                <w:rFonts w:ascii="宋体" w:hAnsi="宋体" w:eastAsia="宋体"/>
                <w:bCs/>
                <w:color w:val="auto"/>
                <w:sz w:val="24"/>
                <w:szCs w:val="18"/>
                <w:highlight w:val="none"/>
              </w:rPr>
            </w:pPr>
            <w:r>
              <w:rPr>
                <w:rFonts w:hint="eastAsia" w:ascii="宋体" w:hAnsi="宋体" w:eastAsia="宋体"/>
                <w:color w:val="auto"/>
                <w:sz w:val="24"/>
                <w:szCs w:val="18"/>
                <w:highlight w:val="none"/>
                <w:lang w:val="en-US" w:eastAsia="zh-CN"/>
              </w:rPr>
              <w:t>▲</w:t>
            </w:r>
            <w:r>
              <w:rPr>
                <w:rFonts w:hint="eastAsia" w:ascii="宋体" w:hAnsi="宋体" w:eastAsia="宋体" w:cs="宋体"/>
                <w:i w:val="0"/>
                <w:iCs w:val="0"/>
                <w:color w:val="auto"/>
                <w:kern w:val="0"/>
                <w:sz w:val="24"/>
                <w:szCs w:val="24"/>
                <w:highlight w:val="none"/>
                <w:u w:val="none"/>
                <w:lang w:val="en-US" w:eastAsia="zh-CN" w:bidi="ar"/>
              </w:rPr>
              <w:t>智能电表</w:t>
            </w:r>
          </w:p>
        </w:tc>
        <w:tc>
          <w:tcPr>
            <w:tcW w:w="2708" w:type="pct"/>
            <w:noWrap w:val="0"/>
            <w:vAlign w:val="center"/>
          </w:tcPr>
          <w:p w14:paraId="458BF3E9">
            <w:pPr>
              <w:numPr>
                <w:ilvl w:val="0"/>
                <w:numId w:val="0"/>
              </w:numPr>
              <w:spacing w:line="360" w:lineRule="auto"/>
              <w:jc w:val="left"/>
              <w:rPr>
                <w:rFonts w:hint="eastAsia" w:ascii="宋体" w:hAnsi="宋体" w:eastAsia="宋体"/>
                <w:b/>
                <w:bCs w:val="0"/>
                <w:color w:val="auto"/>
                <w:sz w:val="24"/>
                <w:szCs w:val="18"/>
                <w:highlight w:val="none"/>
                <w:lang w:val="en-US" w:eastAsia="zh-CN"/>
              </w:rPr>
            </w:pPr>
          </w:p>
          <w:p w14:paraId="608A5A30">
            <w:pPr>
              <w:numPr>
                <w:ilvl w:val="0"/>
                <w:numId w:val="0"/>
              </w:num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lang w:val="en-US" w:eastAsia="zh-CN"/>
              </w:rPr>
              <w:t>1、</w:t>
            </w:r>
            <w:r>
              <w:rPr>
                <w:rFonts w:hint="eastAsia" w:ascii="宋体" w:hAnsi="宋体" w:eastAsia="宋体"/>
                <w:bCs/>
                <w:color w:val="auto"/>
                <w:sz w:val="24"/>
                <w:szCs w:val="18"/>
                <w:highlight w:val="none"/>
              </w:rPr>
              <w:t>★电弧检测功能：电表具有故障电弧检测功能及信号采集单元</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lang w:eastAsia="zh-CN"/>
              </w:rPr>
              <w:t>）</w:t>
            </w:r>
          </w:p>
          <w:p w14:paraId="01EF5747">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2、超负荷设置并控制：各计量回路应可分别设定超载参数；最大负荷限制：额定带载能力最大40A×n（路），负荷超出设定后自动关断并报警。</w:t>
            </w:r>
          </w:p>
          <w:p w14:paraId="1FF40D80">
            <w:pPr>
              <w:spacing w:line="360" w:lineRule="auto"/>
              <w:jc w:val="left"/>
              <w:rPr>
                <w:rFonts w:hint="eastAsia" w:ascii="宋体" w:hAnsi="宋体" w:eastAsia="宋体"/>
                <w:b/>
                <w:bCs w:val="0"/>
                <w:color w:val="auto"/>
                <w:sz w:val="24"/>
                <w:szCs w:val="18"/>
                <w:highlight w:val="none"/>
              </w:rPr>
            </w:pPr>
            <w:r>
              <w:rPr>
                <w:rFonts w:hint="eastAsia" w:ascii="宋体" w:hAnsi="宋体" w:eastAsia="宋体"/>
                <w:bCs/>
                <w:color w:val="auto"/>
                <w:sz w:val="24"/>
                <w:szCs w:val="18"/>
                <w:highlight w:val="none"/>
              </w:rPr>
              <w:t>3、★本次采购的智能电表为一房间二块电表（照明、空调各一块），采用独立封装（非多用户表）</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提供相关承诺函。</w:t>
            </w:r>
            <w:r>
              <w:rPr>
                <w:rFonts w:hint="eastAsia" w:ascii="宋体" w:hAnsi="宋体" w:eastAsia="宋体"/>
                <w:bCs/>
                <w:color w:val="auto"/>
                <w:sz w:val="24"/>
                <w:szCs w:val="18"/>
                <w:highlight w:val="none"/>
                <w:lang w:eastAsia="zh-CN"/>
              </w:rPr>
              <w:t>）</w:t>
            </w:r>
          </w:p>
          <w:p w14:paraId="6CCD3363">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4、★电表节能要求:额定工作电压：AC 220V 50Hz条件下，整机最大功耗：≤0.6W，符合节能型电表要求</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提供计量器具型式评价报告）</w:t>
            </w:r>
          </w:p>
          <w:p w14:paraId="2AE1F5D4">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5、时钟功能：系统自动校</w:t>
            </w:r>
            <w:r>
              <w:rPr>
                <w:rFonts w:hint="eastAsia" w:ascii="宋体" w:hAnsi="宋体" w:eastAsia="宋体"/>
                <w:bCs/>
                <w:color w:val="auto"/>
                <w:sz w:val="24"/>
                <w:szCs w:val="18"/>
                <w:highlight w:val="none"/>
                <w:lang w:val="en-US" w:eastAsia="zh-CN"/>
              </w:rPr>
              <w:t>对</w:t>
            </w:r>
            <w:r>
              <w:rPr>
                <w:rFonts w:hint="eastAsia" w:ascii="宋体" w:hAnsi="宋体" w:eastAsia="宋体"/>
                <w:bCs/>
                <w:color w:val="auto"/>
                <w:sz w:val="24"/>
                <w:szCs w:val="18"/>
                <w:highlight w:val="none"/>
              </w:rPr>
              <w:t>时，电表和系统时间保持同步</w:t>
            </w:r>
            <w:r>
              <w:rPr>
                <w:rFonts w:hint="eastAsia" w:ascii="宋体" w:hAnsi="宋体" w:eastAsia="宋体"/>
                <w:bCs/>
                <w:color w:val="auto"/>
                <w:sz w:val="24"/>
                <w:szCs w:val="18"/>
                <w:highlight w:val="none"/>
                <w:lang w:eastAsia="zh-CN"/>
              </w:rPr>
              <w:t>。</w:t>
            </w:r>
          </w:p>
          <w:p w14:paraId="64AA88B1">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lang w:eastAsia="zh-CN"/>
              </w:rPr>
              <w:t>6、智能学习管理与负载识别，对于允许使用的阻性负载（如饮水机等），通过学习后进行管理；可对发热电器（如电炉、热得快、电热杯、暖手宝等）实施自动识别并关断，系统断电后可设自动恢复供电次数；具备可调移相器识别功能，防范通过移相器使用大功率发热电器，保证用电安全。</w:t>
            </w:r>
          </w:p>
          <w:p w14:paraId="0D311B0F">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lang w:val="en-US" w:eastAsia="zh-CN"/>
              </w:rPr>
              <w:t>7</w:t>
            </w:r>
            <w:r>
              <w:rPr>
                <w:rFonts w:hint="eastAsia" w:ascii="宋体" w:hAnsi="宋体" w:eastAsia="宋体"/>
                <w:bCs/>
                <w:color w:val="auto"/>
                <w:sz w:val="24"/>
                <w:szCs w:val="18"/>
                <w:highlight w:val="none"/>
              </w:rPr>
              <w:t>、定时段送断电：每天支持不少于8个时间点，每周支持不少于40个时段设置</w:t>
            </w:r>
            <w:r>
              <w:rPr>
                <w:rFonts w:hint="eastAsia" w:ascii="宋体" w:hAnsi="宋体" w:eastAsia="宋体"/>
                <w:bCs/>
                <w:color w:val="auto"/>
                <w:sz w:val="24"/>
                <w:szCs w:val="18"/>
                <w:highlight w:val="none"/>
                <w:lang w:eastAsia="zh-CN"/>
              </w:rPr>
              <w:t>。</w:t>
            </w:r>
          </w:p>
          <w:p w14:paraId="29C8DC24">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lang w:val="en-US" w:eastAsia="zh-CN"/>
              </w:rPr>
              <w:t>8</w:t>
            </w:r>
            <w:r>
              <w:rPr>
                <w:rFonts w:hint="eastAsia" w:ascii="宋体" w:hAnsi="宋体" w:eastAsia="宋体"/>
                <w:bCs/>
                <w:color w:val="auto"/>
                <w:sz w:val="24"/>
                <w:szCs w:val="18"/>
                <w:highlight w:val="none"/>
              </w:rPr>
              <w:t>、节假日送断电控制功能：除定时送断电功能外，可设置节假日是否启用</w:t>
            </w:r>
            <w:r>
              <w:rPr>
                <w:rFonts w:hint="eastAsia" w:ascii="宋体" w:hAnsi="宋体" w:eastAsia="宋体"/>
                <w:bCs/>
                <w:color w:val="auto"/>
                <w:sz w:val="24"/>
                <w:szCs w:val="18"/>
                <w:highlight w:val="none"/>
                <w:lang w:eastAsia="zh-CN"/>
              </w:rPr>
              <w:t>。</w:t>
            </w:r>
          </w:p>
          <w:p w14:paraId="1AEC6F33">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lang w:val="en-US" w:eastAsia="zh-CN"/>
              </w:rPr>
              <w:t>9</w:t>
            </w:r>
            <w:r>
              <w:rPr>
                <w:rFonts w:hint="eastAsia" w:ascii="宋体" w:hAnsi="宋体" w:eastAsia="宋体"/>
                <w:bCs/>
                <w:color w:val="auto"/>
                <w:sz w:val="24"/>
                <w:szCs w:val="18"/>
                <w:highlight w:val="none"/>
              </w:rPr>
              <w:t>、分时段功率限制功能：可灵活设置每周逐日按时段功率限值。</w:t>
            </w:r>
          </w:p>
          <w:p w14:paraId="742CB7E3">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0</w:t>
            </w:r>
            <w:r>
              <w:rPr>
                <w:rFonts w:hint="eastAsia" w:ascii="宋体" w:hAnsi="宋体" w:eastAsia="宋体"/>
                <w:bCs/>
                <w:color w:val="auto"/>
                <w:sz w:val="24"/>
                <w:szCs w:val="18"/>
                <w:highlight w:val="none"/>
              </w:rPr>
              <w:t>、脱机保电功能：电表应能在自身与软件长时间不通讯时，自动进入保电状态，保证用户用电，电表与软件恢复通讯后电表恢复成保电之前的状态</w:t>
            </w:r>
            <w:r>
              <w:rPr>
                <w:rFonts w:hint="eastAsia" w:ascii="宋体" w:hAnsi="宋体" w:eastAsia="宋体"/>
                <w:bCs/>
                <w:color w:val="auto"/>
                <w:sz w:val="24"/>
                <w:szCs w:val="18"/>
                <w:highlight w:val="none"/>
                <w:lang w:eastAsia="zh-CN"/>
              </w:rPr>
              <w:t>。</w:t>
            </w:r>
          </w:p>
          <w:p w14:paraId="30F8716D">
            <w:pPr>
              <w:spacing w:line="360" w:lineRule="auto"/>
              <w:jc w:val="left"/>
              <w:rPr>
                <w:rFonts w:hint="eastAsia" w:ascii="宋体" w:hAnsi="宋体" w:eastAsia="宋体"/>
                <w:b/>
                <w:bCs w:val="0"/>
                <w:color w:val="auto"/>
                <w:sz w:val="24"/>
                <w:szCs w:val="18"/>
                <w:highlight w:val="none"/>
                <w:lang w:eastAsia="zh-CN"/>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1</w:t>
            </w:r>
            <w:r>
              <w:rPr>
                <w:rFonts w:hint="eastAsia" w:ascii="宋体" w:hAnsi="宋体" w:eastAsia="宋体"/>
                <w:bCs/>
                <w:color w:val="auto"/>
                <w:sz w:val="24"/>
                <w:szCs w:val="18"/>
                <w:highlight w:val="none"/>
              </w:rPr>
              <w:t>、★负载学习功能：非设备自有数据库中的其他负载电器设备，可通过设备自带的学习算法进行现场学习，将负载电器设备参数等存入设备数据库并实现用电设备管理</w:t>
            </w:r>
            <w:r>
              <w:rPr>
                <w:rFonts w:hint="eastAsia" w:ascii="宋体" w:hAnsi="宋体" w:eastAsia="宋体"/>
                <w:bCs/>
                <w:color w:val="auto"/>
                <w:sz w:val="24"/>
                <w:szCs w:val="18"/>
                <w:highlight w:val="none"/>
                <w:lang w:eastAsia="zh-CN"/>
              </w:rPr>
              <w:t>。</w:t>
            </w:r>
            <w:r>
              <w:rPr>
                <w:rFonts w:hint="eastAsia" w:ascii="宋体" w:hAnsi="宋体" w:eastAsia="宋体"/>
                <w:bCs/>
                <w:color w:val="auto"/>
                <w:sz w:val="24"/>
                <w:szCs w:val="18"/>
                <w:highlight w:val="none"/>
              </w:rPr>
              <w:t>屏显功能：方便查看房间电表的累计用电量。</w:t>
            </w:r>
            <w:r>
              <w:rPr>
                <w:rFonts w:hint="eastAsia" w:ascii="宋体" w:hAnsi="宋体" w:eastAsia="宋体"/>
                <w:b/>
                <w:bCs w:val="0"/>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投标文件中提供第三方检测机构出具的检测报告</w:t>
            </w:r>
            <w:r>
              <w:rPr>
                <w:rFonts w:hint="eastAsia" w:ascii="宋体" w:hAnsi="宋体" w:eastAsia="宋体"/>
                <w:b/>
                <w:bCs w:val="0"/>
                <w:color w:val="auto"/>
                <w:sz w:val="24"/>
                <w:szCs w:val="18"/>
                <w:highlight w:val="none"/>
                <w:lang w:eastAsia="zh-CN"/>
              </w:rPr>
              <w:t>）</w:t>
            </w:r>
          </w:p>
          <w:p w14:paraId="1A971685">
            <w:pPr>
              <w:spacing w:line="360" w:lineRule="auto"/>
              <w:jc w:val="left"/>
              <w:rPr>
                <w:rFonts w:hint="eastAsia" w:ascii="宋体" w:hAnsi="宋体" w:eastAsia="宋体"/>
                <w:b/>
                <w:bCs w:val="0"/>
                <w:color w:val="auto"/>
                <w:sz w:val="24"/>
                <w:szCs w:val="18"/>
                <w:highlight w:val="none"/>
                <w:lang w:eastAsia="zh-CN"/>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2</w:t>
            </w:r>
            <w:r>
              <w:rPr>
                <w:rFonts w:hint="eastAsia" w:ascii="宋体" w:hAnsi="宋体" w:eastAsia="宋体"/>
                <w:bCs/>
                <w:color w:val="auto"/>
                <w:sz w:val="24"/>
                <w:szCs w:val="18"/>
                <w:highlight w:val="none"/>
              </w:rPr>
              <w:t>、★过温保护功能：电表在自身温度过高的情况下自动切断供电，保证用电安全。当温度恢复正常，自动恢复供电</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投标文件中提供第三方检测机构出具的检测报告</w:t>
            </w:r>
            <w:r>
              <w:rPr>
                <w:rFonts w:hint="eastAsia" w:ascii="宋体" w:hAnsi="宋体" w:eastAsia="宋体"/>
                <w:b/>
                <w:bCs w:val="0"/>
                <w:color w:val="auto"/>
                <w:sz w:val="24"/>
                <w:szCs w:val="18"/>
                <w:highlight w:val="none"/>
                <w:lang w:eastAsia="zh-CN"/>
              </w:rPr>
              <w:t>）</w:t>
            </w:r>
          </w:p>
          <w:p w14:paraId="5B6DCB6F">
            <w:pPr>
              <w:spacing w:line="360" w:lineRule="auto"/>
              <w:jc w:val="left"/>
              <w:rPr>
                <w:rFonts w:hint="eastAsia" w:ascii="宋体" w:hAnsi="宋体" w:eastAsia="宋体"/>
                <w:bCs/>
                <w:color w:val="auto"/>
                <w:sz w:val="24"/>
                <w:szCs w:val="18"/>
                <w:highlight w:val="none"/>
                <w:lang w:eastAsia="zh-CN"/>
              </w:rPr>
            </w:pPr>
          </w:p>
        </w:tc>
        <w:tc>
          <w:tcPr>
            <w:tcW w:w="633" w:type="pct"/>
            <w:noWrap w:val="0"/>
            <w:vAlign w:val="center"/>
          </w:tcPr>
          <w:p w14:paraId="64221212">
            <w:pPr>
              <w:spacing w:line="360" w:lineRule="auto"/>
              <w:jc w:val="center"/>
              <w:rPr>
                <w:rFonts w:hint="default"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lang w:val="en-US" w:eastAsia="zh-CN"/>
              </w:rPr>
              <w:t>10217（块）</w:t>
            </w:r>
          </w:p>
        </w:tc>
        <w:tc>
          <w:tcPr>
            <w:tcW w:w="475" w:type="pct"/>
            <w:noWrap w:val="0"/>
            <w:vAlign w:val="center"/>
          </w:tcPr>
          <w:p w14:paraId="561CC350">
            <w:pPr>
              <w:spacing w:line="360" w:lineRule="auto"/>
              <w:jc w:val="center"/>
              <w:rPr>
                <w:rFonts w:ascii="宋体" w:hAnsi="宋体" w:eastAsia="宋体"/>
                <w:bCs/>
                <w:color w:val="auto"/>
                <w:sz w:val="24"/>
                <w:szCs w:val="18"/>
                <w:highlight w:val="none"/>
              </w:rPr>
            </w:pPr>
            <w:r>
              <w:rPr>
                <w:rFonts w:hint="eastAsia" w:ascii="宋体" w:hAnsi="宋体" w:eastAsia="宋体"/>
                <w:bCs/>
                <w:color w:val="auto"/>
                <w:sz w:val="24"/>
                <w:szCs w:val="18"/>
                <w:highlight w:val="none"/>
                <w:lang w:val="en-US" w:eastAsia="zh-CN"/>
              </w:rPr>
              <w:t>工业</w:t>
            </w:r>
          </w:p>
        </w:tc>
      </w:tr>
      <w:tr w14:paraId="12273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451" w:type="pct"/>
            <w:noWrap w:val="0"/>
            <w:vAlign w:val="center"/>
          </w:tcPr>
          <w:p w14:paraId="178A9D1C">
            <w:pPr>
              <w:spacing w:line="360" w:lineRule="auto"/>
              <w:jc w:val="center"/>
              <w:rPr>
                <w:rFonts w:hint="eastAsia" w:ascii="宋体" w:hAnsi="宋体" w:eastAsia="宋体"/>
                <w:color w:val="auto"/>
                <w:sz w:val="24"/>
                <w:szCs w:val="18"/>
                <w:highlight w:val="none"/>
                <w:lang w:eastAsia="zh-CN"/>
              </w:rPr>
            </w:pPr>
            <w:r>
              <w:rPr>
                <w:rFonts w:hint="eastAsia" w:ascii="宋体" w:hAnsi="宋体" w:eastAsia="宋体"/>
                <w:color w:val="auto"/>
                <w:sz w:val="24"/>
                <w:szCs w:val="18"/>
                <w:highlight w:val="none"/>
                <w:lang w:val="en-US" w:eastAsia="zh-CN"/>
              </w:rPr>
              <w:t>2</w:t>
            </w:r>
          </w:p>
        </w:tc>
        <w:tc>
          <w:tcPr>
            <w:tcW w:w="731" w:type="pct"/>
            <w:noWrap w:val="0"/>
            <w:vAlign w:val="center"/>
          </w:tcPr>
          <w:p w14:paraId="0AA08D2A">
            <w:pPr>
              <w:keepNext w:val="0"/>
              <w:keepLines w:val="0"/>
              <w:widowControl/>
              <w:suppressLineNumbers w:val="0"/>
              <w:jc w:val="center"/>
              <w:textAlignment w:val="center"/>
              <w:rPr>
                <w:rFonts w:hint="default" w:ascii="宋体" w:hAnsi="宋体" w:eastAsia="宋体"/>
                <w:bCs/>
                <w:color w:val="auto"/>
                <w:sz w:val="24"/>
                <w:szCs w:val="18"/>
                <w:highlight w:val="none"/>
                <w:lang w:val="en-US"/>
              </w:rPr>
            </w:pPr>
            <w:r>
              <w:rPr>
                <w:rFonts w:hint="eastAsia" w:ascii="宋体" w:hAnsi="宋体" w:eastAsia="宋体" w:cs="宋体"/>
                <w:i w:val="0"/>
                <w:iCs w:val="0"/>
                <w:color w:val="auto"/>
                <w:kern w:val="0"/>
                <w:sz w:val="24"/>
                <w:szCs w:val="24"/>
                <w:highlight w:val="none"/>
                <w:u w:val="none"/>
                <w:lang w:val="en-US" w:eastAsia="zh-CN" w:bidi="ar"/>
              </w:rPr>
              <w:t>楼层采集器/集线器/转发器</w:t>
            </w:r>
          </w:p>
        </w:tc>
        <w:tc>
          <w:tcPr>
            <w:tcW w:w="2708" w:type="pct"/>
            <w:noWrap w:val="0"/>
            <w:vAlign w:val="center"/>
          </w:tcPr>
          <w:p w14:paraId="34E2C4E3">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1、支持通过APP收集设置房间信息，调试设备，送断电</w:t>
            </w:r>
            <w:r>
              <w:rPr>
                <w:rFonts w:hint="eastAsia" w:ascii="宋体" w:hAnsi="宋体" w:eastAsia="宋体"/>
                <w:bCs/>
                <w:color w:val="auto"/>
                <w:sz w:val="24"/>
                <w:szCs w:val="18"/>
                <w:highlight w:val="none"/>
                <w:lang w:eastAsia="zh-CN"/>
              </w:rPr>
              <w:t>。</w:t>
            </w:r>
          </w:p>
          <w:p w14:paraId="46257767">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2、支持每个楼层操作送断电功能</w:t>
            </w:r>
            <w:r>
              <w:rPr>
                <w:rFonts w:hint="eastAsia" w:ascii="宋体" w:hAnsi="宋体" w:eastAsia="宋体"/>
                <w:bCs/>
                <w:color w:val="auto"/>
                <w:sz w:val="24"/>
                <w:szCs w:val="18"/>
                <w:highlight w:val="none"/>
                <w:lang w:eastAsia="zh-CN"/>
              </w:rPr>
              <w:t>。</w:t>
            </w:r>
          </w:p>
        </w:tc>
        <w:tc>
          <w:tcPr>
            <w:tcW w:w="633" w:type="pct"/>
            <w:noWrap w:val="0"/>
            <w:vAlign w:val="center"/>
          </w:tcPr>
          <w:p w14:paraId="77012F59">
            <w:pPr>
              <w:spacing w:line="360" w:lineRule="auto"/>
              <w:jc w:val="center"/>
              <w:rPr>
                <w:rFonts w:hint="default"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lang w:val="en-US" w:eastAsia="zh-CN"/>
              </w:rPr>
              <w:t>428（台）</w:t>
            </w:r>
          </w:p>
        </w:tc>
        <w:tc>
          <w:tcPr>
            <w:tcW w:w="475" w:type="pct"/>
            <w:noWrap w:val="0"/>
            <w:vAlign w:val="center"/>
          </w:tcPr>
          <w:p w14:paraId="1388639B">
            <w:pPr>
              <w:spacing w:line="360" w:lineRule="auto"/>
              <w:jc w:val="center"/>
              <w:rPr>
                <w:rFonts w:ascii="宋体" w:hAnsi="宋体" w:eastAsia="宋体"/>
                <w:bCs/>
                <w:color w:val="auto"/>
                <w:sz w:val="24"/>
                <w:szCs w:val="18"/>
                <w:highlight w:val="none"/>
              </w:rPr>
            </w:pPr>
            <w:r>
              <w:rPr>
                <w:rFonts w:hint="eastAsia" w:ascii="宋体" w:hAnsi="宋体" w:eastAsia="宋体"/>
                <w:bCs/>
                <w:color w:val="auto"/>
                <w:sz w:val="24"/>
                <w:szCs w:val="18"/>
                <w:highlight w:val="none"/>
                <w:lang w:val="en-US" w:eastAsia="zh-CN"/>
              </w:rPr>
              <w:t>工业</w:t>
            </w:r>
          </w:p>
        </w:tc>
      </w:tr>
      <w:tr w14:paraId="06AE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noWrap w:val="0"/>
            <w:vAlign w:val="center"/>
          </w:tcPr>
          <w:p w14:paraId="62067545">
            <w:pPr>
              <w:spacing w:line="360" w:lineRule="auto"/>
              <w:jc w:val="center"/>
              <w:rPr>
                <w:rFonts w:hint="eastAsia" w:ascii="宋体" w:hAnsi="宋体" w:eastAsia="宋体"/>
                <w:color w:val="auto"/>
                <w:sz w:val="24"/>
                <w:szCs w:val="18"/>
                <w:highlight w:val="none"/>
                <w:lang w:eastAsia="zh-CN"/>
              </w:rPr>
            </w:pPr>
            <w:r>
              <w:rPr>
                <w:rFonts w:hint="eastAsia" w:ascii="宋体" w:hAnsi="宋体" w:eastAsia="宋体"/>
                <w:color w:val="auto"/>
                <w:sz w:val="24"/>
                <w:szCs w:val="18"/>
                <w:highlight w:val="none"/>
                <w:lang w:val="en-US" w:eastAsia="zh-CN"/>
              </w:rPr>
              <w:t>3</w:t>
            </w:r>
          </w:p>
        </w:tc>
        <w:tc>
          <w:tcPr>
            <w:tcW w:w="731" w:type="pct"/>
            <w:noWrap w:val="0"/>
            <w:vAlign w:val="center"/>
          </w:tcPr>
          <w:p w14:paraId="09E25658">
            <w:pPr>
              <w:keepNext w:val="0"/>
              <w:keepLines w:val="0"/>
              <w:widowControl/>
              <w:suppressLineNumbers w:val="0"/>
              <w:jc w:val="center"/>
              <w:textAlignment w:val="center"/>
              <w:rPr>
                <w:rFonts w:hint="default" w:ascii="宋体" w:hAnsi="宋体" w:eastAsia="宋体"/>
                <w:bCs/>
                <w:color w:val="auto"/>
                <w:sz w:val="24"/>
                <w:szCs w:val="18"/>
                <w:highlight w:val="none"/>
                <w:lang w:val="en-US"/>
              </w:rPr>
            </w:pPr>
            <w:r>
              <w:rPr>
                <w:rFonts w:hint="eastAsia" w:ascii="宋体" w:hAnsi="宋体" w:eastAsia="宋体" w:cs="宋体"/>
                <w:i w:val="0"/>
                <w:iCs w:val="0"/>
                <w:color w:val="auto"/>
                <w:kern w:val="0"/>
                <w:sz w:val="24"/>
                <w:szCs w:val="24"/>
                <w:highlight w:val="none"/>
                <w:u w:val="none"/>
                <w:lang w:val="en-US" w:eastAsia="zh-CN" w:bidi="ar"/>
              </w:rPr>
              <w:t>楼栋采集器/网关</w:t>
            </w:r>
          </w:p>
        </w:tc>
        <w:tc>
          <w:tcPr>
            <w:tcW w:w="2708" w:type="pct"/>
            <w:noWrap w:val="0"/>
            <w:vAlign w:val="center"/>
          </w:tcPr>
          <w:p w14:paraId="715220AF">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1、处理器：采用工业级处理器</w:t>
            </w:r>
            <w:r>
              <w:rPr>
                <w:rFonts w:hint="eastAsia" w:ascii="宋体" w:hAnsi="宋体" w:eastAsia="宋体"/>
                <w:bCs/>
                <w:color w:val="auto"/>
                <w:sz w:val="24"/>
                <w:szCs w:val="18"/>
                <w:highlight w:val="none"/>
                <w:lang w:eastAsia="zh-CN"/>
              </w:rPr>
              <w:t>。</w:t>
            </w:r>
          </w:p>
          <w:p w14:paraId="6AF8112A">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2、操作系统：嵌入式 Linux 操作系统</w:t>
            </w:r>
            <w:r>
              <w:rPr>
                <w:rFonts w:hint="eastAsia" w:ascii="宋体" w:hAnsi="宋体" w:eastAsia="宋体"/>
                <w:bCs/>
                <w:color w:val="auto"/>
                <w:sz w:val="24"/>
                <w:szCs w:val="18"/>
                <w:highlight w:val="none"/>
                <w:lang w:eastAsia="zh-CN"/>
              </w:rPr>
              <w:t>。</w:t>
            </w:r>
          </w:p>
          <w:p w14:paraId="075FDB42">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3、时钟：配置具有温度补偿的专用芯片与后备电池</w:t>
            </w:r>
            <w:r>
              <w:rPr>
                <w:rFonts w:hint="eastAsia" w:ascii="宋体" w:hAnsi="宋体" w:eastAsia="宋体"/>
                <w:bCs/>
                <w:color w:val="auto"/>
                <w:sz w:val="24"/>
                <w:szCs w:val="18"/>
                <w:highlight w:val="none"/>
                <w:lang w:eastAsia="zh-CN"/>
              </w:rPr>
              <w:t>。</w:t>
            </w:r>
          </w:p>
          <w:p w14:paraId="2AC28732">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4、采用阻燃材料</w:t>
            </w:r>
            <w:r>
              <w:rPr>
                <w:rFonts w:hint="eastAsia" w:ascii="宋体" w:hAnsi="宋体" w:eastAsia="宋体"/>
                <w:bCs/>
                <w:color w:val="auto"/>
                <w:sz w:val="24"/>
                <w:szCs w:val="18"/>
                <w:highlight w:val="none"/>
                <w:lang w:eastAsia="zh-CN"/>
              </w:rPr>
              <w:t>。</w:t>
            </w:r>
          </w:p>
          <w:p w14:paraId="3E22E1AE">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5、★要求节能型控制，设备功耗：≤5W</w:t>
            </w:r>
            <w:r>
              <w:rPr>
                <w:rFonts w:hint="eastAsia" w:ascii="宋体" w:hAnsi="宋体" w:eastAsia="宋体" w:cs="宋体"/>
                <w:color w:val="auto"/>
                <w:highlight w:val="none"/>
                <w:vertAlign w:val="baseline"/>
                <w:lang w:eastAsia="zh-CN"/>
              </w:rPr>
              <w:t>。</w:t>
            </w:r>
            <w:r>
              <w:rPr>
                <w:rFonts w:hint="eastAsia" w:ascii="宋体" w:hAnsi="宋体" w:eastAsia="宋体"/>
                <w:b/>
                <w:bCs w:val="0"/>
                <w:color w:val="auto"/>
                <w:sz w:val="24"/>
                <w:szCs w:val="18"/>
                <w:highlight w:val="none"/>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w:t>
            </w:r>
            <w:r>
              <w:rPr>
                <w:rFonts w:hint="eastAsia" w:ascii="宋体" w:hAnsi="宋体" w:eastAsia="宋体"/>
                <w:b/>
                <w:bCs w:val="0"/>
                <w:color w:val="auto"/>
                <w:sz w:val="24"/>
                <w:szCs w:val="18"/>
                <w:highlight w:val="none"/>
                <w:lang w:val="en-US" w:eastAsia="zh-CN"/>
              </w:rPr>
              <w:t>第三方</w:t>
            </w:r>
            <w:r>
              <w:rPr>
                <w:rFonts w:hint="eastAsia" w:ascii="宋体" w:hAnsi="宋体" w:eastAsia="宋体"/>
                <w:b/>
                <w:bCs w:val="0"/>
                <w:color w:val="auto"/>
                <w:sz w:val="24"/>
                <w:szCs w:val="18"/>
                <w:highlight w:val="none"/>
              </w:rPr>
              <w:t>计量检测单位出具的检测报告）</w:t>
            </w:r>
          </w:p>
          <w:p w14:paraId="65ACA712">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6、能对每个电表的情况进行实时采集，如电表用量、电表当前状态、电表告警信息等</w:t>
            </w:r>
            <w:r>
              <w:rPr>
                <w:rFonts w:hint="eastAsia" w:ascii="宋体" w:hAnsi="宋体" w:eastAsia="宋体"/>
                <w:bCs/>
                <w:color w:val="auto"/>
                <w:sz w:val="24"/>
                <w:szCs w:val="18"/>
                <w:highlight w:val="none"/>
                <w:lang w:eastAsia="zh-CN"/>
              </w:rPr>
              <w:t>。</w:t>
            </w:r>
          </w:p>
          <w:p w14:paraId="78DEB402">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7、可通过有线网络或无线网络将数据上传到服务器，上传采集数据的时间可以根据需求设置</w:t>
            </w:r>
            <w:r>
              <w:rPr>
                <w:rFonts w:hint="eastAsia" w:ascii="宋体" w:hAnsi="宋体" w:eastAsia="宋体"/>
                <w:bCs/>
                <w:color w:val="auto"/>
                <w:sz w:val="24"/>
                <w:szCs w:val="18"/>
                <w:highlight w:val="none"/>
                <w:lang w:eastAsia="zh-CN"/>
              </w:rPr>
              <w:t>。</w:t>
            </w:r>
          </w:p>
        </w:tc>
        <w:tc>
          <w:tcPr>
            <w:tcW w:w="633" w:type="pct"/>
            <w:noWrap w:val="0"/>
            <w:vAlign w:val="center"/>
          </w:tcPr>
          <w:p w14:paraId="4D5D9767">
            <w:pPr>
              <w:spacing w:line="360" w:lineRule="auto"/>
              <w:jc w:val="center"/>
              <w:rPr>
                <w:rFonts w:hint="default"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lang w:val="en-US" w:eastAsia="zh-CN"/>
              </w:rPr>
              <w:t>46（台）</w:t>
            </w:r>
          </w:p>
        </w:tc>
        <w:tc>
          <w:tcPr>
            <w:tcW w:w="475" w:type="pct"/>
            <w:noWrap w:val="0"/>
            <w:vAlign w:val="center"/>
          </w:tcPr>
          <w:p w14:paraId="0EC30543">
            <w:pPr>
              <w:spacing w:line="360" w:lineRule="auto"/>
              <w:jc w:val="center"/>
              <w:rPr>
                <w:rFonts w:ascii="宋体" w:hAnsi="宋体" w:eastAsia="宋体"/>
                <w:bCs/>
                <w:color w:val="auto"/>
                <w:sz w:val="24"/>
                <w:szCs w:val="18"/>
                <w:highlight w:val="none"/>
              </w:rPr>
            </w:pPr>
            <w:r>
              <w:rPr>
                <w:rFonts w:hint="eastAsia" w:ascii="宋体" w:hAnsi="宋体" w:eastAsia="宋体"/>
                <w:bCs/>
                <w:color w:val="auto"/>
                <w:sz w:val="24"/>
                <w:szCs w:val="18"/>
                <w:highlight w:val="none"/>
                <w:lang w:val="en-US" w:eastAsia="zh-CN"/>
              </w:rPr>
              <w:t>工业</w:t>
            </w:r>
          </w:p>
        </w:tc>
      </w:tr>
      <w:tr w14:paraId="4FE0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1" w:type="pct"/>
            <w:noWrap w:val="0"/>
            <w:vAlign w:val="center"/>
          </w:tcPr>
          <w:p w14:paraId="5DD8D6A0">
            <w:pPr>
              <w:spacing w:line="360" w:lineRule="auto"/>
              <w:jc w:val="center"/>
              <w:rPr>
                <w:rFonts w:hint="eastAsia" w:ascii="宋体" w:hAnsi="宋体" w:eastAsia="宋体"/>
                <w:color w:val="auto"/>
                <w:sz w:val="24"/>
                <w:szCs w:val="18"/>
                <w:highlight w:val="none"/>
                <w:lang w:eastAsia="zh-CN"/>
              </w:rPr>
            </w:pPr>
            <w:r>
              <w:rPr>
                <w:rFonts w:hint="eastAsia" w:ascii="宋体" w:hAnsi="宋体" w:eastAsia="宋体"/>
                <w:color w:val="auto"/>
                <w:sz w:val="24"/>
                <w:szCs w:val="18"/>
                <w:highlight w:val="none"/>
                <w:lang w:val="en-US" w:eastAsia="zh-CN"/>
              </w:rPr>
              <w:t>4</w:t>
            </w:r>
          </w:p>
        </w:tc>
        <w:tc>
          <w:tcPr>
            <w:tcW w:w="731" w:type="pct"/>
            <w:noWrap w:val="0"/>
            <w:vAlign w:val="center"/>
          </w:tcPr>
          <w:p w14:paraId="19404727">
            <w:pPr>
              <w:keepNext w:val="0"/>
              <w:keepLines w:val="0"/>
              <w:widowControl/>
              <w:suppressLineNumbers w:val="0"/>
              <w:jc w:val="center"/>
              <w:textAlignment w:val="center"/>
              <w:rPr>
                <w:rFonts w:ascii="宋体" w:hAnsi="宋体" w:eastAsia="宋体"/>
                <w:bCs/>
                <w:color w:val="auto"/>
                <w:sz w:val="24"/>
                <w:szCs w:val="18"/>
                <w:highlight w:val="none"/>
              </w:rPr>
            </w:pPr>
            <w:r>
              <w:rPr>
                <w:rFonts w:hint="eastAsia" w:ascii="宋体" w:hAnsi="宋体" w:eastAsia="宋体" w:cs="宋体"/>
                <w:i w:val="0"/>
                <w:iCs w:val="0"/>
                <w:color w:val="auto"/>
                <w:kern w:val="0"/>
                <w:sz w:val="24"/>
                <w:szCs w:val="24"/>
                <w:highlight w:val="none"/>
                <w:u w:val="none"/>
                <w:lang w:val="en-US" w:eastAsia="zh-CN" w:bidi="ar"/>
              </w:rPr>
              <w:t>电表柜</w:t>
            </w:r>
          </w:p>
        </w:tc>
        <w:tc>
          <w:tcPr>
            <w:tcW w:w="2708" w:type="pct"/>
            <w:noWrap w:val="0"/>
            <w:vAlign w:val="center"/>
          </w:tcPr>
          <w:p w14:paraId="79C1954B">
            <w:pPr>
              <w:spacing w:line="360" w:lineRule="auto"/>
              <w:jc w:val="left"/>
              <w:rPr>
                <w:rFonts w:ascii="宋体" w:hAnsi="宋体" w:eastAsia="宋体"/>
                <w:bCs/>
                <w:color w:val="auto"/>
                <w:sz w:val="24"/>
                <w:szCs w:val="18"/>
                <w:highlight w:val="none"/>
              </w:rPr>
            </w:pPr>
            <w:r>
              <w:rPr>
                <w:rFonts w:hint="eastAsia" w:ascii="宋体" w:hAnsi="宋体" w:eastAsia="宋体"/>
                <w:bCs/>
                <w:color w:val="auto"/>
                <w:sz w:val="24"/>
                <w:szCs w:val="18"/>
                <w:highlight w:val="none"/>
              </w:rPr>
              <w:t>★符合国标《GB/T 7251.8-2020 低压成套开关设备和控制设备第8部分：智能型成套设备通用技术要求》</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rPr>
              <w:t>投标文件中提供型式试验报告</w:t>
            </w:r>
            <w:r>
              <w:rPr>
                <w:rFonts w:hint="eastAsia" w:ascii="宋体" w:hAnsi="宋体" w:eastAsia="宋体"/>
                <w:bCs/>
                <w:color w:val="auto"/>
                <w:sz w:val="24"/>
                <w:szCs w:val="18"/>
                <w:highlight w:val="none"/>
                <w:lang w:eastAsia="zh-CN"/>
              </w:rPr>
              <w:t>）</w:t>
            </w:r>
          </w:p>
        </w:tc>
        <w:tc>
          <w:tcPr>
            <w:tcW w:w="633" w:type="pct"/>
            <w:noWrap w:val="0"/>
            <w:vAlign w:val="center"/>
          </w:tcPr>
          <w:p w14:paraId="65E90FF9">
            <w:pPr>
              <w:spacing w:line="360" w:lineRule="auto"/>
              <w:jc w:val="center"/>
              <w:rPr>
                <w:rFonts w:hint="eastAsia" w:ascii="宋体" w:hAnsi="宋体" w:eastAsia="宋体"/>
                <w:bCs/>
                <w:color w:val="auto"/>
                <w:sz w:val="24"/>
                <w:szCs w:val="18"/>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427</w:t>
            </w:r>
            <w:r>
              <w:rPr>
                <w:rFonts w:hint="eastAsia" w:ascii="宋体" w:hAnsi="宋体" w:eastAsia="宋体"/>
                <w:bCs/>
                <w:color w:val="auto"/>
                <w:sz w:val="24"/>
                <w:szCs w:val="18"/>
                <w:highlight w:val="none"/>
                <w:lang w:val="en-US" w:eastAsia="zh-CN"/>
              </w:rPr>
              <w:t>（个）</w:t>
            </w:r>
          </w:p>
        </w:tc>
        <w:tc>
          <w:tcPr>
            <w:tcW w:w="475" w:type="pct"/>
            <w:noWrap w:val="0"/>
            <w:vAlign w:val="center"/>
          </w:tcPr>
          <w:p w14:paraId="7127DB85">
            <w:pPr>
              <w:spacing w:line="360" w:lineRule="auto"/>
              <w:jc w:val="center"/>
              <w:rPr>
                <w:rFonts w:hint="eastAsia" w:ascii="宋体" w:hAnsi="宋体" w:eastAsia="宋体"/>
                <w:bCs/>
                <w:color w:val="auto"/>
                <w:sz w:val="24"/>
                <w:szCs w:val="18"/>
                <w:highlight w:val="none"/>
                <w:lang w:val="en-US" w:eastAsia="zh-CN"/>
              </w:rPr>
            </w:pPr>
          </w:p>
        </w:tc>
      </w:tr>
      <w:tr w14:paraId="0885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451" w:type="pct"/>
            <w:noWrap w:val="0"/>
            <w:vAlign w:val="center"/>
          </w:tcPr>
          <w:p w14:paraId="13A45ED8">
            <w:pPr>
              <w:spacing w:line="360" w:lineRule="auto"/>
              <w:jc w:val="center"/>
              <w:rPr>
                <w:rFonts w:hint="eastAsia" w:ascii="宋体" w:hAnsi="宋体" w:eastAsia="宋体"/>
                <w:color w:val="auto"/>
                <w:sz w:val="24"/>
                <w:szCs w:val="18"/>
                <w:highlight w:val="none"/>
                <w:lang w:eastAsia="zh-CN"/>
              </w:rPr>
            </w:pPr>
            <w:r>
              <w:rPr>
                <w:rFonts w:hint="eastAsia" w:ascii="宋体" w:hAnsi="宋体" w:eastAsia="宋体"/>
                <w:color w:val="auto"/>
                <w:sz w:val="24"/>
                <w:szCs w:val="18"/>
                <w:highlight w:val="none"/>
                <w:lang w:val="en-US" w:eastAsia="zh-CN"/>
              </w:rPr>
              <w:t>5</w:t>
            </w:r>
          </w:p>
        </w:tc>
        <w:tc>
          <w:tcPr>
            <w:tcW w:w="731" w:type="pct"/>
            <w:noWrap w:val="0"/>
            <w:vAlign w:val="center"/>
          </w:tcPr>
          <w:p w14:paraId="27BB131C">
            <w:pPr>
              <w:keepNext w:val="0"/>
              <w:keepLines w:val="0"/>
              <w:widowControl/>
              <w:suppressLineNumbers w:val="0"/>
              <w:jc w:val="center"/>
              <w:textAlignment w:val="center"/>
              <w:rPr>
                <w:rFonts w:ascii="宋体" w:hAnsi="宋体" w:eastAsia="宋体"/>
                <w:bCs/>
                <w:color w:val="auto"/>
                <w:sz w:val="24"/>
                <w:szCs w:val="18"/>
                <w:highlight w:val="none"/>
              </w:rPr>
            </w:pPr>
            <w:r>
              <w:rPr>
                <w:rFonts w:hint="eastAsia" w:ascii="宋体" w:hAnsi="宋体" w:eastAsia="宋体" w:cs="宋体"/>
                <w:i w:val="0"/>
                <w:iCs w:val="0"/>
                <w:color w:val="auto"/>
                <w:kern w:val="0"/>
                <w:sz w:val="24"/>
                <w:szCs w:val="24"/>
                <w:highlight w:val="none"/>
                <w:u w:val="none"/>
                <w:lang w:val="en-US" w:eastAsia="zh-CN" w:bidi="ar"/>
              </w:rPr>
              <w:t>系统软件</w:t>
            </w:r>
          </w:p>
        </w:tc>
        <w:tc>
          <w:tcPr>
            <w:tcW w:w="2708" w:type="pct"/>
            <w:noWrap w:val="0"/>
            <w:vAlign w:val="center"/>
          </w:tcPr>
          <w:p w14:paraId="64308443">
            <w:pPr>
              <w:spacing w:line="360" w:lineRule="auto"/>
              <w:jc w:val="left"/>
              <w:rPr>
                <w:rFonts w:hint="eastAsia"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rPr>
              <w:t>1、系统设计采用B/S架构，无需安装客户端，通过浏览器用户就可以完成配置、设置、查询、控制等所有操作，并可支持更多用户同时在线。</w:t>
            </w:r>
          </w:p>
          <w:p w14:paraId="6E5387BC">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2、系统具备公共区域用能分摊管理功能，可将公共区域用水用电量分摊到各个房间实现收费，并提供详细分摊收费数据报表</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lang w:eastAsia="zh-CN"/>
              </w:rPr>
              <w:t>）</w:t>
            </w:r>
          </w:p>
          <w:p w14:paraId="3EBFE98D">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3、★系统首页可展示关键数据监控，包括充值、补贴和使用趋势统计分析、异常房间统计、报警信息监测以及快捷菜单等。</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投标文件中提供第三方检测机构出具的检测报告</w:t>
            </w:r>
            <w:r>
              <w:rPr>
                <w:rFonts w:hint="eastAsia" w:ascii="宋体" w:hAnsi="宋体" w:eastAsia="宋体"/>
                <w:bCs/>
                <w:color w:val="auto"/>
                <w:sz w:val="24"/>
                <w:szCs w:val="18"/>
                <w:highlight w:val="none"/>
                <w:lang w:eastAsia="zh-CN"/>
              </w:rPr>
              <w:t>）</w:t>
            </w:r>
          </w:p>
          <w:p w14:paraId="48E315B3">
            <w:pPr>
              <w:spacing w:line="360" w:lineRule="auto"/>
              <w:jc w:val="left"/>
              <w:rPr>
                <w:rFonts w:hint="eastAsia" w:ascii="宋体" w:hAnsi="宋体" w:eastAsia="宋体"/>
                <w:bCs/>
                <w:color w:val="auto"/>
                <w:sz w:val="24"/>
                <w:szCs w:val="18"/>
                <w:highlight w:val="none"/>
                <w:lang w:eastAsia="zh-CN"/>
              </w:rPr>
            </w:pPr>
            <w:r>
              <w:rPr>
                <w:rFonts w:hint="eastAsia" w:ascii="宋体" w:hAnsi="宋体" w:eastAsia="宋体"/>
                <w:bCs/>
                <w:color w:val="auto"/>
                <w:sz w:val="24"/>
                <w:szCs w:val="18"/>
                <w:highlight w:val="none"/>
              </w:rPr>
              <w:t>4、系统须具备针对异常用量、通讯异常、低电量、负载关断、过流关断自动推送弹出窗口的方式提示。</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lang w:eastAsia="zh-CN"/>
              </w:rPr>
              <w:t>）</w:t>
            </w:r>
          </w:p>
          <w:p w14:paraId="6074B8C6">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5、当用户剩余电量为零时，系统将自动切断该单元供电，只有当用户重新购电后，系统才会自动恢复对该单元的供电。</w:t>
            </w:r>
          </w:p>
          <w:p w14:paraId="6B6A3BE6">
            <w:pPr>
              <w:pStyle w:val="15"/>
              <w:keepNext w:val="0"/>
              <w:keepLines w:val="0"/>
              <w:widowControl/>
              <w:suppressLineNumbers w:val="0"/>
              <w:spacing w:line="360" w:lineRule="auto"/>
              <w:ind w:left="0" w:firstLine="0"/>
              <w:jc w:val="left"/>
              <w:textAlignment w:val="center"/>
              <w:rPr>
                <w:rFonts w:hint="eastAsia" w:ascii="宋体" w:hAnsi="宋体" w:eastAsia="宋体"/>
                <w:bCs/>
                <w:strike/>
                <w:dstrike w:val="0"/>
                <w:color w:val="auto"/>
                <w:sz w:val="24"/>
                <w:szCs w:val="18"/>
                <w:highlight w:val="none"/>
              </w:rPr>
            </w:pPr>
            <w:r>
              <w:rPr>
                <w:rFonts w:hint="eastAsia" w:ascii="宋体" w:hAnsi="宋体" w:eastAsia="宋体"/>
                <w:bCs/>
                <w:color w:val="auto"/>
                <w:sz w:val="24"/>
                <w:szCs w:val="18"/>
                <w:highlight w:val="none"/>
              </w:rPr>
              <w:t>6、系统软件上，用户可随时查询用户房间当时的用电情况，也可在系统软件上查询用电单元前十年的所</w:t>
            </w:r>
            <w:r>
              <w:rPr>
                <w:rFonts w:hint="eastAsia" w:ascii="宋体" w:hAnsi="宋体" w:eastAsia="宋体"/>
                <w:bCs/>
                <w:color w:val="auto"/>
                <w:sz w:val="24"/>
                <w:szCs w:val="18"/>
                <w:highlight w:val="none"/>
                <w:lang w:val="en-US" w:eastAsia="zh-CN"/>
              </w:rPr>
              <w:t>有</w:t>
            </w:r>
            <w:r>
              <w:rPr>
                <w:rFonts w:hint="eastAsia" w:ascii="宋体" w:hAnsi="宋体" w:eastAsia="宋体"/>
                <w:bCs/>
                <w:color w:val="auto"/>
                <w:sz w:val="24"/>
                <w:szCs w:val="18"/>
                <w:highlight w:val="none"/>
              </w:rPr>
              <w:t>用电情况、基础用电和缴费情况。</w:t>
            </w:r>
          </w:p>
          <w:p w14:paraId="50E401E7">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7、免费基础电量设置方式灵活，学校可按每月/季度/年对各分类的用户设定不同的免费基础用电量。</w:t>
            </w:r>
          </w:p>
          <w:p w14:paraId="6C747826">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8、当学生调换房间后，系统计算机上能对学生宿舍的剩余电量进行数据转换，并且支持个别、批量房间进行数据调换。</w:t>
            </w:r>
          </w:p>
          <w:p w14:paraId="3FC64AAB">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9、系统内相关管理人员，支持通过设置角色为不同管理用户分配不同的管理权限，实现登录用户的分级管理和权限可控。</w:t>
            </w:r>
          </w:p>
          <w:p w14:paraId="695B555D">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10、★系统支持查看系统内管理员操作的日志及异常情况日志，保障系统使用的安全可回溯，包括模块日冻结日志、送断电日志、温度报警日志、职员操作日志等。</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lang w:eastAsia="zh-CN"/>
              </w:rPr>
              <w:t>）</w:t>
            </w:r>
          </w:p>
          <w:p w14:paraId="5CE6866B">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1</w:t>
            </w:r>
            <w:r>
              <w:rPr>
                <w:rFonts w:hint="eastAsia" w:ascii="宋体" w:hAnsi="宋体" w:eastAsia="宋体"/>
                <w:bCs/>
                <w:color w:val="auto"/>
                <w:sz w:val="24"/>
                <w:szCs w:val="18"/>
                <w:highlight w:val="none"/>
              </w:rPr>
              <w:t>、系统支持当电脑因非正常关机而引起数据库损坏时，系统软件会自动对数据库进行修复，绝对保障数据的安全。</w:t>
            </w:r>
          </w:p>
          <w:p w14:paraId="61806CE6">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2</w:t>
            </w:r>
            <w:r>
              <w:rPr>
                <w:rFonts w:hint="eastAsia" w:ascii="宋体" w:hAnsi="宋体" w:eastAsia="宋体"/>
                <w:bCs/>
                <w:color w:val="auto"/>
                <w:sz w:val="24"/>
                <w:szCs w:val="18"/>
                <w:highlight w:val="none"/>
              </w:rPr>
              <w:t>、对每个学生房间的用电情况进行实时监控，可以直观显示学生房间当前的用电数据。</w:t>
            </w:r>
          </w:p>
          <w:p w14:paraId="43AAF525">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3</w:t>
            </w:r>
            <w:r>
              <w:rPr>
                <w:rFonts w:hint="eastAsia" w:ascii="宋体" w:hAnsi="宋体" w:eastAsia="宋体"/>
                <w:bCs/>
                <w:color w:val="auto"/>
                <w:sz w:val="24"/>
                <w:szCs w:val="18"/>
                <w:highlight w:val="none"/>
              </w:rPr>
              <w:t>、用电数据采用电脑、数据网关、计量表具三重备份，当电脑关机或不正常时，计量表具会在数据网关的控制下正常运行。</w:t>
            </w:r>
          </w:p>
          <w:p w14:paraId="2A2C8572">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4</w:t>
            </w:r>
            <w:r>
              <w:rPr>
                <w:rFonts w:hint="eastAsia" w:ascii="宋体" w:hAnsi="宋体" w:eastAsia="宋体"/>
                <w:bCs/>
                <w:color w:val="auto"/>
                <w:sz w:val="24"/>
                <w:szCs w:val="18"/>
                <w:highlight w:val="none"/>
              </w:rPr>
              <w:t>、断网情况下，系统可实现应急送断电操作，能够实现每栋楼、每层楼、每个房间进行送断电管理。</w:t>
            </w:r>
          </w:p>
          <w:p w14:paraId="1C3485E8">
            <w:pPr>
              <w:spacing w:line="360" w:lineRule="auto"/>
              <w:jc w:val="left"/>
              <w:rPr>
                <w:rFonts w:ascii="宋体" w:hAnsi="宋体" w:eastAsia="宋体"/>
                <w:bCs/>
                <w:color w:val="auto"/>
                <w:sz w:val="24"/>
                <w:szCs w:val="18"/>
                <w:highlight w:val="none"/>
              </w:rPr>
            </w:pPr>
            <w:r>
              <w:rPr>
                <w:rFonts w:hint="eastAsia" w:ascii="宋体" w:hAnsi="宋体" w:eastAsia="宋体"/>
                <w:bCs/>
                <w:color w:val="auto"/>
                <w:sz w:val="24"/>
                <w:szCs w:val="18"/>
                <w:highlight w:val="none"/>
              </w:rPr>
              <w:t>1</w:t>
            </w:r>
            <w:r>
              <w:rPr>
                <w:rFonts w:hint="eastAsia" w:ascii="宋体" w:hAnsi="宋体" w:eastAsia="宋体"/>
                <w:bCs/>
                <w:color w:val="auto"/>
                <w:sz w:val="24"/>
                <w:szCs w:val="18"/>
                <w:highlight w:val="none"/>
                <w:lang w:val="en-US" w:eastAsia="zh-CN"/>
              </w:rPr>
              <w:t>5</w:t>
            </w:r>
            <w:r>
              <w:rPr>
                <w:rFonts w:hint="eastAsia" w:ascii="宋体" w:hAnsi="宋体" w:eastAsia="宋体"/>
                <w:bCs/>
                <w:color w:val="auto"/>
                <w:sz w:val="24"/>
                <w:szCs w:val="18"/>
                <w:highlight w:val="none"/>
              </w:rPr>
              <w:t>、系统支持公寓电表监控大屏功能，监控展示公寓楼栋全部电表的运行情况。包括当前楼栋用电趋势、用电排行、违规用电排行、低电量及透支使用房间等。</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lang w:eastAsia="zh-CN"/>
              </w:rPr>
              <w:t>）</w:t>
            </w:r>
          </w:p>
        </w:tc>
        <w:tc>
          <w:tcPr>
            <w:tcW w:w="633" w:type="pct"/>
            <w:noWrap w:val="0"/>
            <w:vAlign w:val="center"/>
          </w:tcPr>
          <w:p w14:paraId="53D946CA">
            <w:pPr>
              <w:spacing w:line="360" w:lineRule="auto"/>
              <w:jc w:val="center"/>
              <w:rPr>
                <w:rFonts w:hint="eastAsia"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lang w:val="en-US" w:eastAsia="zh-CN"/>
              </w:rPr>
              <w:t xml:space="preserve"> 1（套）</w:t>
            </w:r>
          </w:p>
        </w:tc>
        <w:tc>
          <w:tcPr>
            <w:tcW w:w="475" w:type="pct"/>
            <w:noWrap w:val="0"/>
            <w:vAlign w:val="center"/>
          </w:tcPr>
          <w:p w14:paraId="02951439">
            <w:pPr>
              <w:spacing w:line="360" w:lineRule="auto"/>
              <w:jc w:val="center"/>
              <w:rPr>
                <w:rFonts w:ascii="宋体" w:hAnsi="宋体" w:eastAsia="宋体"/>
                <w:bCs/>
                <w:color w:val="auto"/>
                <w:sz w:val="24"/>
                <w:szCs w:val="18"/>
                <w:highlight w:val="none"/>
              </w:rPr>
            </w:pPr>
            <w:r>
              <w:rPr>
                <w:rFonts w:hint="eastAsia" w:ascii="宋体" w:hAnsi="宋体" w:eastAsia="宋体"/>
                <w:bCs/>
                <w:color w:val="auto"/>
                <w:sz w:val="24"/>
                <w:szCs w:val="18"/>
                <w:highlight w:val="none"/>
              </w:rPr>
              <w:t>软件和信息技术服务业</w:t>
            </w:r>
          </w:p>
        </w:tc>
      </w:tr>
      <w:tr w14:paraId="21AB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51" w:type="pct"/>
            <w:noWrap w:val="0"/>
            <w:vAlign w:val="center"/>
          </w:tcPr>
          <w:p w14:paraId="741ACD3D">
            <w:pPr>
              <w:spacing w:line="360" w:lineRule="auto"/>
              <w:jc w:val="center"/>
              <w:rPr>
                <w:rFonts w:hint="eastAsia" w:ascii="宋体" w:hAnsi="宋体" w:eastAsia="宋体"/>
                <w:color w:val="auto"/>
                <w:sz w:val="24"/>
                <w:szCs w:val="18"/>
                <w:highlight w:val="none"/>
                <w:lang w:eastAsia="zh-CN"/>
              </w:rPr>
            </w:pPr>
            <w:r>
              <w:rPr>
                <w:rFonts w:hint="eastAsia" w:ascii="宋体" w:hAnsi="宋体" w:eastAsia="宋体"/>
                <w:color w:val="auto"/>
                <w:sz w:val="24"/>
                <w:szCs w:val="18"/>
                <w:highlight w:val="none"/>
                <w:lang w:val="en-US" w:eastAsia="zh-CN"/>
              </w:rPr>
              <w:t>6</w:t>
            </w:r>
          </w:p>
        </w:tc>
        <w:tc>
          <w:tcPr>
            <w:tcW w:w="731" w:type="pct"/>
            <w:noWrap w:val="0"/>
            <w:vAlign w:val="center"/>
          </w:tcPr>
          <w:p w14:paraId="27306B5E">
            <w:pPr>
              <w:keepNext w:val="0"/>
              <w:keepLines w:val="0"/>
              <w:widowControl/>
              <w:suppressLineNumbers w:val="0"/>
              <w:jc w:val="center"/>
              <w:textAlignment w:val="center"/>
              <w:rPr>
                <w:rFonts w:ascii="宋体" w:hAnsi="宋体" w:eastAsia="宋体"/>
                <w:bCs/>
                <w:color w:val="auto"/>
                <w:sz w:val="24"/>
                <w:szCs w:val="18"/>
                <w:highlight w:val="none"/>
              </w:rPr>
            </w:pPr>
            <w:r>
              <w:rPr>
                <w:rFonts w:hint="eastAsia" w:ascii="宋体" w:hAnsi="宋体" w:eastAsia="宋体" w:cs="宋体"/>
                <w:i w:val="0"/>
                <w:iCs w:val="0"/>
                <w:color w:val="auto"/>
                <w:kern w:val="0"/>
                <w:sz w:val="24"/>
                <w:szCs w:val="24"/>
                <w:highlight w:val="none"/>
                <w:u w:val="none"/>
                <w:lang w:val="en-US" w:eastAsia="zh-CN" w:bidi="ar"/>
              </w:rPr>
              <w:t>手机端</w:t>
            </w:r>
          </w:p>
        </w:tc>
        <w:tc>
          <w:tcPr>
            <w:tcW w:w="2708" w:type="pct"/>
            <w:noWrap w:val="0"/>
            <w:vAlign w:val="center"/>
          </w:tcPr>
          <w:p w14:paraId="0E856346">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1、支持通过手机端、管理平台等渠道对房间水电充值缴费。</w:t>
            </w:r>
          </w:p>
          <w:p w14:paraId="0DCBA28C">
            <w:pPr>
              <w:spacing w:line="360" w:lineRule="auto"/>
              <w:jc w:val="left"/>
              <w:rPr>
                <w:rFonts w:hint="eastAsia" w:ascii="宋体" w:hAnsi="宋体" w:eastAsia="宋体"/>
                <w:bCs/>
                <w:color w:val="auto"/>
                <w:sz w:val="24"/>
                <w:szCs w:val="18"/>
                <w:highlight w:val="none"/>
              </w:rPr>
            </w:pPr>
            <w:r>
              <w:rPr>
                <w:rFonts w:hint="eastAsia" w:ascii="宋体" w:hAnsi="宋体" w:eastAsia="宋体"/>
                <w:bCs/>
                <w:color w:val="auto"/>
                <w:sz w:val="24"/>
                <w:szCs w:val="18"/>
                <w:highlight w:val="none"/>
              </w:rPr>
              <w:t>2、支持用户在手机端查询房间用电余额、缴电费、查询缴费记录、毕业生或交错房间的可申请退费功能和房间用电使用情况。</w:t>
            </w:r>
          </w:p>
          <w:p w14:paraId="43D42DB9">
            <w:pPr>
              <w:spacing w:line="360" w:lineRule="auto"/>
              <w:jc w:val="left"/>
              <w:rPr>
                <w:rFonts w:ascii="宋体" w:hAnsi="宋体" w:eastAsia="宋体"/>
                <w:bCs/>
                <w:color w:val="auto"/>
                <w:sz w:val="24"/>
                <w:szCs w:val="18"/>
                <w:highlight w:val="none"/>
              </w:rPr>
            </w:pPr>
            <w:r>
              <w:rPr>
                <w:rFonts w:hint="eastAsia" w:ascii="宋体" w:hAnsi="宋体" w:eastAsia="宋体"/>
                <w:bCs/>
                <w:color w:val="auto"/>
                <w:sz w:val="24"/>
                <w:szCs w:val="18"/>
                <w:highlight w:val="none"/>
              </w:rPr>
              <w:t>3、★具备运维及管理APP，管理员能够更加便捷的实现电表设备开通、更换、初始化，实现电表模块远程送断电操作，实现设备状态远程监控、设备报警信息查看、房间即设备数据查询，以及电缴费分析和能耗分析。</w:t>
            </w:r>
            <w:r>
              <w:rPr>
                <w:rFonts w:hint="eastAsia" w:ascii="宋体" w:hAnsi="宋体" w:eastAsia="宋体"/>
                <w:bCs/>
                <w:color w:val="auto"/>
                <w:sz w:val="24"/>
                <w:szCs w:val="18"/>
                <w:highlight w:val="none"/>
                <w:lang w:eastAsia="zh-CN"/>
              </w:rPr>
              <w:t>（</w:t>
            </w:r>
            <w:r>
              <w:rPr>
                <w:rFonts w:hint="eastAsia" w:ascii="宋体" w:hAnsi="宋体" w:eastAsia="宋体"/>
                <w:b/>
                <w:bCs w:val="0"/>
                <w:color w:val="auto"/>
                <w:sz w:val="24"/>
                <w:szCs w:val="18"/>
                <w:highlight w:val="none"/>
                <w:lang w:val="en-US" w:eastAsia="zh-CN"/>
              </w:rPr>
              <w:t>投标文件中</w:t>
            </w:r>
            <w:r>
              <w:rPr>
                <w:rFonts w:hint="eastAsia" w:ascii="宋体" w:hAnsi="宋体" w:eastAsia="宋体"/>
                <w:b/>
                <w:bCs w:val="0"/>
                <w:color w:val="auto"/>
                <w:sz w:val="24"/>
                <w:szCs w:val="18"/>
                <w:highlight w:val="none"/>
              </w:rPr>
              <w:t>提供证明材料</w:t>
            </w:r>
            <w:r>
              <w:rPr>
                <w:rFonts w:hint="eastAsia" w:ascii="宋体" w:hAnsi="宋体" w:eastAsia="宋体"/>
                <w:bCs/>
                <w:color w:val="auto"/>
                <w:sz w:val="24"/>
                <w:szCs w:val="18"/>
                <w:highlight w:val="none"/>
              </w:rPr>
              <w:t>。</w:t>
            </w:r>
            <w:r>
              <w:rPr>
                <w:rFonts w:hint="eastAsia" w:ascii="宋体" w:hAnsi="宋体" w:eastAsia="宋体"/>
                <w:bCs/>
                <w:color w:val="auto"/>
                <w:sz w:val="24"/>
                <w:szCs w:val="18"/>
                <w:highlight w:val="none"/>
                <w:lang w:eastAsia="zh-CN"/>
              </w:rPr>
              <w:t>）</w:t>
            </w:r>
          </w:p>
        </w:tc>
        <w:tc>
          <w:tcPr>
            <w:tcW w:w="633" w:type="pct"/>
            <w:noWrap w:val="0"/>
            <w:vAlign w:val="center"/>
          </w:tcPr>
          <w:p w14:paraId="0383A756">
            <w:pPr>
              <w:spacing w:line="360" w:lineRule="auto"/>
              <w:jc w:val="center"/>
              <w:rPr>
                <w:rFonts w:hint="eastAsia" w:ascii="宋体" w:hAnsi="宋体" w:eastAsia="宋体"/>
                <w:bCs/>
                <w:color w:val="auto"/>
                <w:sz w:val="24"/>
                <w:szCs w:val="18"/>
                <w:highlight w:val="none"/>
                <w:lang w:val="en-US" w:eastAsia="zh-CN"/>
              </w:rPr>
            </w:pPr>
            <w:r>
              <w:rPr>
                <w:rFonts w:hint="eastAsia" w:ascii="宋体" w:hAnsi="宋体" w:eastAsia="宋体"/>
                <w:bCs/>
                <w:color w:val="auto"/>
                <w:sz w:val="24"/>
                <w:szCs w:val="18"/>
                <w:highlight w:val="none"/>
                <w:lang w:val="en-US" w:eastAsia="zh-CN"/>
              </w:rPr>
              <w:t>1（套）</w:t>
            </w:r>
          </w:p>
        </w:tc>
        <w:tc>
          <w:tcPr>
            <w:tcW w:w="475" w:type="pct"/>
            <w:noWrap w:val="0"/>
            <w:vAlign w:val="center"/>
          </w:tcPr>
          <w:p w14:paraId="35AC5E76">
            <w:pPr>
              <w:spacing w:line="360" w:lineRule="auto"/>
              <w:jc w:val="center"/>
              <w:rPr>
                <w:rFonts w:ascii="宋体" w:hAnsi="宋体" w:eastAsia="宋体"/>
                <w:bCs/>
                <w:color w:val="auto"/>
                <w:sz w:val="24"/>
                <w:szCs w:val="18"/>
                <w:highlight w:val="none"/>
              </w:rPr>
            </w:pPr>
            <w:r>
              <w:rPr>
                <w:rFonts w:hint="eastAsia" w:ascii="宋体" w:hAnsi="宋体" w:eastAsia="宋体"/>
                <w:bCs/>
                <w:color w:val="auto"/>
                <w:sz w:val="24"/>
                <w:szCs w:val="18"/>
                <w:highlight w:val="none"/>
              </w:rPr>
              <w:t>软件和信息技术服务业</w:t>
            </w:r>
          </w:p>
        </w:tc>
      </w:tr>
    </w:tbl>
    <w:p w14:paraId="1A2A9EA0">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rPr>
      </w:pPr>
      <w:bookmarkStart w:id="4" w:name="_Toc4843"/>
      <w:bookmarkStart w:id="5" w:name="_Toc7421"/>
      <w:r>
        <w:rPr>
          <w:rFonts w:hint="eastAsia" w:ascii="宋体" w:hAnsi="宋体" w:eastAsia="宋体" w:cs="宋体"/>
          <w:b/>
          <w:bCs/>
          <w:color w:val="auto"/>
          <w:sz w:val="24"/>
          <w:szCs w:val="24"/>
          <w:highlight w:val="none"/>
        </w:rPr>
        <w:t>三、项目概况</w:t>
      </w:r>
    </w:p>
    <w:p w14:paraId="10D8EFA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为全面提升我校学生公寓智慧用电管理水平，优化师生用电便捷性，强化学校公寓用电智慧化管控，彻底消除老旧用电设施带来的安全隐患，现对西湖校区、清河校区、三里桥校园学生公寓电控系统进行全面升级改造，涵盖原有设备拆除</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拆除由中标人实施，投标时请在总报价中考虑此部分费用，拆除后按照学校要求将设备放到指定位置，归学校所有</w:t>
      </w:r>
      <w:r>
        <w:rPr>
          <w:rFonts w:hint="eastAsia" w:ascii="宋体" w:hAnsi="宋体" w:eastAsia="宋体" w:cs="宋体"/>
          <w:b/>
          <w:bCs/>
          <w:color w:val="auto"/>
          <w:sz w:val="24"/>
          <w:szCs w:val="24"/>
          <w:highlight w:val="none"/>
          <w:lang w:eastAsia="zh-CN"/>
        </w:rPr>
        <w:t>）</w:t>
      </w:r>
      <w:r>
        <w:rPr>
          <w:rFonts w:hint="eastAsia" w:ascii="宋体" w:hAnsi="宋体" w:eastAsia="宋体" w:cs="宋体"/>
          <w:b w:val="0"/>
          <w:bCs w:val="0"/>
          <w:color w:val="auto"/>
          <w:sz w:val="24"/>
          <w:szCs w:val="24"/>
          <w:highlight w:val="none"/>
        </w:rPr>
        <w:t xml:space="preserve">、新设备供货、安装调试、系统对接、售后质保等全流程工作，最终打造符合节能型、智慧化校园要求的公寓用电管理体系。 </w:t>
      </w:r>
    </w:p>
    <w:p w14:paraId="1865E45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 xml:space="preserve">项目实施范围 </w:t>
      </w:r>
    </w:p>
    <w:p w14:paraId="1B4D86DD">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1、西湖校区：一区1–9号楼、二区1–8号楼、三区1–9号楼学生公寓</w:t>
      </w:r>
    </w:p>
    <w:p w14:paraId="7A77239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2、清河校区：西清苑1–7号楼、东清苑1–6号楼学生公寓</w:t>
      </w:r>
    </w:p>
    <w:p w14:paraId="6D038197">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3、三里桥校园：所有学生公寓楼</w:t>
      </w:r>
    </w:p>
    <w:p w14:paraId="2FB98AAE">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（具体楼栋、房间数量以现场实际勘查、统计为准。）</w:t>
      </w:r>
    </w:p>
    <w:p w14:paraId="6651059F">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五、项目核心内容</w:t>
      </w:r>
    </w:p>
    <w:p w14:paraId="25240C9D">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对上述校区学生公寓原有照明、空调老旧电控系统及配套线路、柜体进行拆除清运到指定地点</w:t>
      </w:r>
      <w:r>
        <w:rPr>
          <w:rFonts w:hint="eastAsia" w:ascii="宋体" w:hAnsi="宋体" w:eastAsia="宋体" w:cs="宋体"/>
          <w:b w:val="0"/>
          <w:bCs w:val="0"/>
          <w:color w:val="auto"/>
          <w:sz w:val="24"/>
          <w:szCs w:val="24"/>
          <w:highlight w:val="none"/>
          <w:lang w:val="en-US" w:eastAsia="zh-CN"/>
        </w:rPr>
        <w:t>，全新安装智能照明电控系统、智能空调电控系统，更换新型智能电表及配套负载识别、控制模块；依托校区原有配电线路完成布线施工，空调和照明分开计量。通过电脑端将智能电控系统接入校园网，实现宿舍用电全流程智能化管控；完成系统与校园现有平台对接，开展操作人员培训及后续运维服务。</w:t>
      </w:r>
      <w:r>
        <w:rPr>
          <w:rFonts w:hint="eastAsia" w:ascii="宋体" w:hAnsi="宋体" w:eastAsia="宋体" w:cs="宋体"/>
          <w:b w:val="0"/>
          <w:bCs w:val="0"/>
          <w:color w:val="auto"/>
          <w:sz w:val="24"/>
          <w:szCs w:val="24"/>
          <w:highlight w:val="none"/>
        </w:rPr>
        <w:t xml:space="preserve"> </w:t>
      </w:r>
    </w:p>
    <w:p w14:paraId="4006AADE">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六、系统功能要求</w:t>
      </w:r>
    </w:p>
    <w:p w14:paraId="4370278E">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（一）基础安全管控功能</w:t>
      </w:r>
    </w:p>
    <w:p w14:paraId="3742371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1、具备超载保护、恶载保护、短路保护三重安全防护功能，精准识别电炉、电热棒、电饭煲等违规恶性负载，自动断电并预警，从源头消除用电安全隐患。</w:t>
      </w:r>
    </w:p>
    <w:p w14:paraId="590A0182">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2、支持定时送断电、分时段功率控制功能，可根据学校管理要求，灵活设置不同时段供电、限功率参数，满足作息管理与节能管控需求。</w:t>
      </w:r>
    </w:p>
    <w:p w14:paraId="574F2063">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3、具备负载学习、电量补缴、异常用电报警功能，实时监测宿舍用电状态，异常情况及时上传管理平台。 </w:t>
      </w:r>
    </w:p>
    <w:p w14:paraId="1F1CF7AC">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（二）移动端便捷应用功能</w:t>
      </w:r>
    </w:p>
    <w:p w14:paraId="129FB12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搭建手机端应用小程序/公众号，支持师生在线完成电量实时查询、电费自助缴纳、用电趋势分析、用电功率检测等操作；同时实现线上运维报修、远程送电/断电申请等服务，提升师生用电体验。 </w:t>
      </w:r>
    </w:p>
    <w:p w14:paraId="53C6B945">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（三）后台管理功能 </w:t>
      </w:r>
    </w:p>
    <w:p w14:paraId="138FC43E">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1、系统集电能计量、收费管理、用电过程监管、能耗统计、数据溯源于一体，支持用电数据实时上传、历史记录查询，数据安全可靠、不可篡改。</w:t>
      </w:r>
    </w:p>
    <w:p w14:paraId="58D91A32">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2、具备远程集中管控功能，管理员可通过后台对单个/多个宿舍实现远程通断电、参数设置、权限管理，实现用电精细化、智能化管理。</w:t>
      </w:r>
    </w:p>
    <w:p w14:paraId="7F6C41DB">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3、生成各类用电统计报表、故障报表、缴费报表，为学校节能管理、后勤运维提供数据支撑。 </w:t>
      </w:r>
    </w:p>
    <w:p w14:paraId="1F4637C7">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（四）平台对接要求</w:t>
      </w:r>
    </w:p>
    <w:p w14:paraId="1B85FB7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1、智能电控系统需实现与学校现有校园“一卡通”平台、微信支付平台免费系统对接，实现学生自助购电、电费自动结算，系统如需与其他系统对接等，需无偿提供接口及对接相关服务。</w:t>
      </w:r>
    </w:p>
    <w:p w14:paraId="1F711E72">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2、支持与校园智慧校园平台数据免费互通，用户购电交易金额、交易时间、交易渠道等交易流水信息，可通过校园“一卡通”或微信支付平台实时查询、对账。</w:t>
      </w:r>
    </w:p>
    <w:p w14:paraId="7763D5C7">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3.在系统正式上线前，提供由具备资格的网络安全机构出具的合格的信息系统安全测试报告（由具备网络安全相关资质的公司实施），报告作为项目验收要件。</w:t>
      </w:r>
    </w:p>
    <w:p w14:paraId="2A2C8DDC">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七、设备及施工技术要求 </w:t>
      </w:r>
    </w:p>
    <w:p w14:paraId="24174938">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为考虑系统之间的兼容性及师生使用的便捷性，新安装智能电表、采集器、电表柜等设备需符合国家用电安全标准、校园用电设备技术规范，产品资质齐全，性能稳定、抗干扰能力强，适配校园长期高频次使用场景。</w:t>
      </w:r>
    </w:p>
    <w:p w14:paraId="323DAD99">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2、施工过程中充分利用原有合格配电线路，对老化、破损线路同步更换，规范布线、安装，确保施工安全，不影响学生正常住宿与校园教学秩序。</w:t>
      </w:r>
    </w:p>
    <w:p w14:paraId="09BB2DE9">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3、系统网络接入校园网后，保障网络传输稳定、数据安全，具备防攻击、防泄露能力，用户信息、用电数据严格保密，满足校园网络安全管理要求，智能电控系统稳定运行需提供相关配套</w:t>
      </w:r>
      <w:r>
        <w:rPr>
          <w:rFonts w:hint="eastAsia" w:ascii="宋体" w:hAnsi="宋体" w:eastAsia="宋体" w:cs="宋体"/>
          <w:b w:val="0"/>
          <w:bCs w:val="0"/>
          <w:strike w:val="0"/>
          <w:dstrike w:val="0"/>
          <w:color w:val="auto"/>
          <w:sz w:val="24"/>
          <w:szCs w:val="24"/>
          <w:highlight w:val="none"/>
          <w:lang w:val="en-US" w:eastAsia="zh-CN"/>
        </w:rPr>
        <w:t>设备</w:t>
      </w:r>
      <w:r>
        <w:rPr>
          <w:rFonts w:hint="eastAsia" w:ascii="宋体" w:hAnsi="宋体" w:eastAsia="宋体" w:cs="宋体"/>
          <w:b w:val="0"/>
          <w:bCs w:val="0"/>
          <w:color w:val="auto"/>
          <w:sz w:val="24"/>
          <w:szCs w:val="24"/>
          <w:highlight w:val="none"/>
          <w:lang w:val="en-US" w:eastAsia="zh-CN"/>
        </w:rPr>
        <w:t>。</w:t>
      </w:r>
    </w:p>
    <w:p w14:paraId="47AB7CFA">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4、每个宿舍独立配置智能电控管理单元，实现照明、空调用电分路管控、独立计量，满足差异化用电管理需求。</w:t>
      </w:r>
    </w:p>
    <w:p w14:paraId="7B3E5EAB">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八、服务要求</w:t>
      </w:r>
    </w:p>
    <w:p w14:paraId="55788B2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本项目中标人需完成以下全部工作，直至项目验收合格：</w:t>
      </w:r>
    </w:p>
    <w:p w14:paraId="029889DD">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1、设备供货：按要求提供所有符合技术标准的软硬件设备，确保设备全新、质量合格。</w:t>
      </w:r>
    </w:p>
    <w:p w14:paraId="774BC375">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2、拆除清运：负责部分不能与现有设备匹配的原有老旧电控设备、线路、柜体的拆除、回收及合规清运，做好施工现场清理。</w:t>
      </w:r>
    </w:p>
    <w:p w14:paraId="4798A490">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3、布线安装：严格按照施工规范完成设备布线、安装、固定，确保施工质量达标。</w:t>
      </w:r>
    </w:p>
    <w:p w14:paraId="19FC41A9">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4、调试对接：完成系统软硬件调试、与校园一卡通/智慧校园/微信支付平台对接，确保所有功能正常运行。</w:t>
      </w:r>
    </w:p>
    <w:p w14:paraId="3976967A">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5、培训服务：为学校后勤管理、操作人员提供系统操作、日常维护、故障处理等专业培训，确保操作人员熟练掌握使用方法。</w:t>
      </w:r>
    </w:p>
    <w:p w14:paraId="19EAB004">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6、售后质保：</w:t>
      </w:r>
    </w:p>
    <w:p w14:paraId="5787DB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6.1提供完善的售后质保服务，明确质保期限，质保期内提供免费上门维修、设备更换、系统维护等服务，接到故障报修后及时响应、快速处理，保障系统持续稳定运行。为</w:t>
      </w:r>
      <w:r>
        <w:rPr>
          <w:rFonts w:hint="eastAsia" w:ascii="宋体" w:hAnsi="宋体" w:eastAsia="宋体" w:cs="宋体"/>
          <w:color w:val="auto"/>
          <w:sz w:val="24"/>
          <w:szCs w:val="24"/>
          <w:highlight w:val="none"/>
        </w:rPr>
        <w:t>保证全校学生公寓控电管理的统一性、便利性，</w:t>
      </w:r>
      <w:r>
        <w:rPr>
          <w:rFonts w:hint="eastAsia" w:ascii="宋体" w:hAnsi="宋体" w:eastAsia="宋体" w:cs="宋体"/>
          <w:b w:val="0"/>
          <w:bCs w:val="0"/>
          <w:color w:val="auto"/>
          <w:sz w:val="24"/>
          <w:szCs w:val="24"/>
          <w:highlight w:val="none"/>
          <w:lang w:val="en-US" w:eastAsia="zh-CN"/>
        </w:rPr>
        <w:t>中标单位须同时负责下列楼栋智能电表的维护和保养且质保期与本项目质保期保持一致。</w:t>
      </w:r>
    </w:p>
    <w:p w14:paraId="667804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color w:val="auto"/>
          <w:sz w:val="24"/>
          <w:szCs w:val="24"/>
          <w:highlight w:val="none"/>
        </w:rPr>
      </w:pPr>
      <w:r>
        <w:rPr>
          <w:rFonts w:hint="eastAsia" w:ascii="宋体" w:hAnsi="宋体" w:eastAsia="宋体" w:cs="宋体"/>
          <w:b w:val="0"/>
          <w:bCs w:val="0"/>
          <w:color w:val="auto"/>
          <w:sz w:val="24"/>
          <w:szCs w:val="24"/>
          <w:highlight w:val="none"/>
          <w:lang w:val="en-US" w:eastAsia="zh-CN"/>
        </w:rPr>
        <w:drawing>
          <wp:inline distT="0" distB="0" distL="114300" distR="114300">
            <wp:extent cx="5266690" cy="3176905"/>
            <wp:effectExtent l="0" t="0" r="10160" b="4445"/>
            <wp:docPr id="1" name="图片 3" descr="af966ef9-6897-482b-b486-247d600b56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af966ef9-6897-482b-b486-247d600b56ee"/>
                    <pic:cNvPicPr>
                      <a:picLocks noChangeAspect="1"/>
                    </pic:cNvPicPr>
                  </pic:nvPicPr>
                  <pic:blipFill>
                    <a:blip r:embed="rId5"/>
                    <a:stretch>
                      <a:fillRect/>
                    </a:stretch>
                  </pic:blipFill>
                  <pic:spPr>
                    <a:xfrm>
                      <a:off x="0" y="0"/>
                      <a:ext cx="5266690" cy="3176905"/>
                    </a:xfrm>
                    <a:prstGeom prst="rect">
                      <a:avLst/>
                    </a:prstGeom>
                    <a:noFill/>
                    <a:ln>
                      <a:noFill/>
                    </a:ln>
                  </pic:spPr>
                </pic:pic>
              </a:graphicData>
            </a:graphic>
          </wp:inline>
        </w:drawing>
      </w:r>
    </w:p>
    <w:p w14:paraId="680E24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b w:val="0"/>
          <w:bCs w:val="0"/>
          <w:color w:val="auto"/>
          <w:sz w:val="24"/>
          <w:szCs w:val="24"/>
          <w:highlight w:val="none"/>
          <w:lang w:val="en-US" w:eastAsia="zh-CN"/>
        </w:rPr>
      </w:pPr>
      <w:r>
        <w:rPr>
          <w:rFonts w:hint="eastAsia" w:eastAsia="宋体"/>
          <w:color w:val="auto"/>
          <w:sz w:val="24"/>
          <w:szCs w:val="24"/>
          <w:highlight w:val="none"/>
          <w:lang w:val="en-US" w:eastAsia="zh-CN"/>
        </w:rPr>
        <w:t>6.2</w:t>
      </w:r>
      <w:r>
        <w:rPr>
          <w:rFonts w:hint="eastAsia" w:ascii="宋体" w:hAnsi="宋体" w:eastAsia="宋体" w:cs="宋体"/>
          <w:b w:val="0"/>
          <w:bCs w:val="0"/>
          <w:color w:val="auto"/>
          <w:sz w:val="24"/>
          <w:szCs w:val="24"/>
          <w:highlight w:val="none"/>
          <w:lang w:val="en-US" w:eastAsia="zh-CN"/>
        </w:rPr>
        <w:t>要求提供一名驻场服务工程师</w:t>
      </w:r>
      <w:r>
        <w:rPr>
          <w:rFonts w:hint="eastAsia" w:ascii="宋体" w:hAnsi="宋体" w:eastAsia="宋体" w:cs="宋体"/>
          <w:b/>
          <w:bCs/>
          <w:color w:val="auto"/>
          <w:sz w:val="24"/>
          <w:szCs w:val="24"/>
          <w:highlight w:val="none"/>
          <w:lang w:val="en-US" w:eastAsia="zh-CN"/>
        </w:rPr>
        <w:t>（在投标文件中提供人员名单和应急管理部门颁发的有效期内的低压电工特种作业操作证）</w:t>
      </w:r>
      <w:r>
        <w:rPr>
          <w:rFonts w:hint="eastAsia" w:ascii="宋体" w:hAnsi="宋体" w:eastAsia="宋体" w:cs="宋体"/>
          <w:b w:val="0"/>
          <w:bCs w:val="0"/>
          <w:color w:val="auto"/>
          <w:sz w:val="24"/>
          <w:szCs w:val="24"/>
          <w:highlight w:val="none"/>
          <w:lang w:val="en-US" w:eastAsia="zh-CN"/>
        </w:rPr>
        <w:t>。</w:t>
      </w:r>
    </w:p>
    <w:p w14:paraId="6729A4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6.3</w:t>
      </w:r>
      <w:r>
        <w:rPr>
          <w:rFonts w:hint="eastAsia" w:ascii="宋体" w:hAnsi="宋体" w:eastAsia="宋体" w:cs="宋体"/>
          <w:b/>
          <w:bCs/>
          <w:color w:val="auto"/>
          <w:sz w:val="24"/>
          <w:szCs w:val="24"/>
          <w:highlight w:val="none"/>
          <w:lang w:val="en-US" w:eastAsia="zh-CN"/>
        </w:rPr>
        <w:t>免费质保期自本项目验收合格之日起计算。</w:t>
      </w:r>
    </w:p>
    <w:p w14:paraId="48AB98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color w:val="auto"/>
          <w:highlight w:val="none"/>
        </w:rPr>
      </w:pPr>
      <w:r>
        <w:rPr>
          <w:rFonts w:hint="eastAsia" w:ascii="宋体" w:hAnsi="宋体" w:eastAsia="宋体" w:cs="宋体"/>
          <w:b/>
          <w:bCs/>
          <w:color w:val="auto"/>
          <w:sz w:val="24"/>
          <w:szCs w:val="24"/>
          <w:highlight w:val="none"/>
          <w:lang w:val="en-US" w:eastAsia="zh-CN"/>
        </w:rPr>
        <w:t>6.4质保期满后，投标人承诺只收取元器件成本费（在投标文件中依据招标人提供的元器件类型进行报价），对软件部分终身提供免费升级及维护。</w:t>
      </w:r>
    </w:p>
    <w:tbl>
      <w:tblPr>
        <w:tblStyle w:val="1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30"/>
        <w:gridCol w:w="4019"/>
        <w:gridCol w:w="1431"/>
        <w:gridCol w:w="1442"/>
      </w:tblGrid>
      <w:tr w14:paraId="36EC2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jc w:val="center"/>
        </w:trPr>
        <w:tc>
          <w:tcPr>
            <w:tcW w:w="1442" w:type="dxa"/>
            <w:gridSpan w:val="4"/>
            <w:vMerge w:val="restart"/>
            <w:tcBorders>
              <w:top w:val="nil"/>
              <w:left w:val="nil"/>
              <w:bottom w:val="nil"/>
              <w:right w:val="nil"/>
            </w:tcBorders>
            <w:noWrap/>
            <w:vAlign w:val="center"/>
          </w:tcPr>
          <w:p w14:paraId="1A39B4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52"/>
                <w:szCs w:val="52"/>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智能控电主要配件</w:t>
            </w:r>
          </w:p>
        </w:tc>
      </w:tr>
      <w:tr w14:paraId="406C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jc w:val="center"/>
        </w:trPr>
        <w:tc>
          <w:tcPr>
            <w:tcW w:w="1442" w:type="dxa"/>
            <w:gridSpan w:val="4"/>
            <w:vMerge w:val="continue"/>
            <w:tcBorders>
              <w:top w:val="nil"/>
              <w:left w:val="nil"/>
              <w:bottom w:val="nil"/>
              <w:right w:val="nil"/>
            </w:tcBorders>
            <w:noWrap/>
            <w:vAlign w:val="center"/>
          </w:tcPr>
          <w:p w14:paraId="7FEC7C95">
            <w:pPr>
              <w:keepNext/>
              <w:snapToGrid w:val="0"/>
              <w:ind w:left="0" w:leftChars="0" w:right="0" w:rightChars="0" w:firstLine="0" w:firstLineChars="0"/>
              <w:jc w:val="center"/>
              <w:rPr>
                <w:rFonts w:hint="eastAsia" w:ascii="宋体" w:hAnsi="宋体" w:eastAsia="宋体" w:cs="宋体"/>
                <w:b/>
                <w:bCs/>
                <w:i w:val="0"/>
                <w:iCs w:val="0"/>
                <w:color w:val="auto"/>
                <w:sz w:val="52"/>
                <w:szCs w:val="52"/>
                <w:highlight w:val="none"/>
                <w:u w:val="none"/>
              </w:rPr>
            </w:pPr>
          </w:p>
        </w:tc>
      </w:tr>
      <w:tr w14:paraId="645BD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1630" w:type="dxa"/>
            <w:tcBorders>
              <w:top w:val="single" w:color="000000" w:sz="4" w:space="0"/>
              <w:left w:val="single" w:color="000000" w:sz="4" w:space="0"/>
              <w:bottom w:val="single" w:color="000000" w:sz="4" w:space="0"/>
              <w:right w:val="single" w:color="000000" w:sz="4" w:space="0"/>
            </w:tcBorders>
            <w:noWrap/>
            <w:vAlign w:val="center"/>
          </w:tcPr>
          <w:p w14:paraId="2CBEF37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系统</w:t>
            </w: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7D4B88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元器件</w:t>
            </w:r>
            <w:r>
              <w:rPr>
                <w:rFonts w:hint="eastAsia" w:ascii="宋体" w:hAnsi="宋体" w:eastAsia="宋体" w:cs="宋体"/>
                <w:i w:val="0"/>
                <w:iCs w:val="0"/>
                <w:color w:val="auto"/>
                <w:kern w:val="0"/>
                <w:sz w:val="24"/>
                <w:szCs w:val="24"/>
                <w:highlight w:val="none"/>
                <w:u w:val="none"/>
                <w:lang w:val="en-US" w:eastAsia="zh-CN" w:bidi="ar"/>
              </w:rPr>
              <w:t>名称</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02482F7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成本费</w:t>
            </w:r>
            <w:r>
              <w:rPr>
                <w:rFonts w:hint="eastAsia" w:ascii="宋体" w:hAnsi="宋体" w:eastAsia="宋体" w:cs="宋体"/>
                <w:i w:val="0"/>
                <w:iCs w:val="0"/>
                <w:color w:val="auto"/>
                <w:kern w:val="0"/>
                <w:sz w:val="24"/>
                <w:szCs w:val="24"/>
                <w:highlight w:val="none"/>
                <w:u w:val="none"/>
                <w:lang w:val="en-US" w:eastAsia="zh-CN" w:bidi="ar"/>
              </w:rPr>
              <w:t>报价</w:t>
            </w:r>
          </w:p>
          <w:p w14:paraId="29262B6A">
            <w:pPr>
              <w:pStyle w:val="5"/>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w:t>
            </w: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CC8DDF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1E1CE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restart"/>
            <w:tcBorders>
              <w:top w:val="single" w:color="000000" w:sz="4" w:space="0"/>
              <w:left w:val="single" w:color="000000" w:sz="4" w:space="0"/>
              <w:bottom w:val="single" w:color="000000" w:sz="4" w:space="0"/>
              <w:right w:val="single" w:color="000000" w:sz="4" w:space="0"/>
            </w:tcBorders>
            <w:noWrap w:val="0"/>
            <w:vAlign w:val="center"/>
          </w:tcPr>
          <w:p w14:paraId="3B532A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智能控电系统</w:t>
            </w: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0244566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智能控电模块</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0B2D5E2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7947C89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22F5E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20FD0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5B67B6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通讯主控制板</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0904E37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55E65D80">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355C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B25972">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1A2FB98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从控制板</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3136EEB3">
            <w:pPr>
              <w:keepNext/>
              <w:snapToGrid w:val="0"/>
              <w:ind w:left="0" w:leftChars="0" w:right="0" w:rightChars="0" w:firstLine="0" w:firstLineChars="0"/>
              <w:jc w:val="center"/>
              <w:rPr>
                <w:rFonts w:hint="eastAsia" w:ascii="宋体" w:hAnsi="宋体" w:eastAsia="宋体" w:cs="宋体"/>
                <w:b/>
                <w:bCs/>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7C5B9E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1D05E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03B70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59BB61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控制电源</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31134CE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24B1798A">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7549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AB5AE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45D41F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网络数据转换器</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740294D1">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348181C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0922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9ABAA5">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3CE4DC4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通讯线</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7D6CEA3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17B8B2AB">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38776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7F2826">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17DC619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集中器</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702400E7">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12854239">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64192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1C47E">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6BF3E12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转发控制器</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60C388FF">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65A97B2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r w14:paraId="55769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63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6D42DE">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4019" w:type="dxa"/>
            <w:tcBorders>
              <w:top w:val="single" w:color="000000" w:sz="4" w:space="0"/>
              <w:left w:val="single" w:color="000000" w:sz="4" w:space="0"/>
              <w:bottom w:val="single" w:color="000000" w:sz="4" w:space="0"/>
              <w:right w:val="single" w:color="000000" w:sz="4" w:space="0"/>
            </w:tcBorders>
            <w:noWrap/>
            <w:vAlign w:val="center"/>
          </w:tcPr>
          <w:p w14:paraId="24FD8D9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电控模块</w:t>
            </w:r>
          </w:p>
        </w:tc>
        <w:tc>
          <w:tcPr>
            <w:tcW w:w="1431" w:type="dxa"/>
            <w:tcBorders>
              <w:top w:val="single" w:color="000000" w:sz="4" w:space="0"/>
              <w:left w:val="single" w:color="000000" w:sz="4" w:space="0"/>
              <w:bottom w:val="single" w:color="000000" w:sz="4" w:space="0"/>
              <w:right w:val="single" w:color="000000" w:sz="4" w:space="0"/>
            </w:tcBorders>
            <w:noWrap/>
            <w:vAlign w:val="center"/>
          </w:tcPr>
          <w:p w14:paraId="01415FB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c>
          <w:tcPr>
            <w:tcW w:w="1442" w:type="dxa"/>
            <w:tcBorders>
              <w:top w:val="single" w:color="000000" w:sz="4" w:space="0"/>
              <w:left w:val="single" w:color="000000" w:sz="4" w:space="0"/>
              <w:bottom w:val="single" w:color="000000" w:sz="4" w:space="0"/>
              <w:right w:val="single" w:color="000000" w:sz="4" w:space="0"/>
            </w:tcBorders>
            <w:noWrap/>
            <w:vAlign w:val="center"/>
          </w:tcPr>
          <w:p w14:paraId="4A3607AC">
            <w:pPr>
              <w:keepNext/>
              <w:snapToGrid w:val="0"/>
              <w:ind w:left="0" w:leftChars="0" w:right="0" w:rightChars="0" w:firstLine="0" w:firstLineChars="0"/>
              <w:jc w:val="center"/>
              <w:rPr>
                <w:rFonts w:hint="eastAsia" w:ascii="宋体" w:hAnsi="宋体" w:eastAsia="宋体" w:cs="宋体"/>
                <w:i w:val="0"/>
                <w:iCs w:val="0"/>
                <w:color w:val="auto"/>
                <w:sz w:val="24"/>
                <w:szCs w:val="24"/>
                <w:highlight w:val="none"/>
                <w:u w:val="none"/>
              </w:rPr>
            </w:pPr>
          </w:p>
        </w:tc>
      </w:tr>
    </w:tbl>
    <w:p w14:paraId="1B5703AC">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24"/>
          <w:highlight w:val="none"/>
          <w:lang w:val="en-US" w:eastAsia="zh-CN"/>
        </w:rPr>
      </w:pPr>
    </w:p>
    <w:p w14:paraId="53E5D85B">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 xml:space="preserve">项目验收要求 </w:t>
      </w:r>
    </w:p>
    <w:p w14:paraId="6E61FB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施工完成、系统试运行稳定后，供应商提交验收申请，学校组织相关部门按照采购需求、技术标准、合同约定进行验收，验收内容包括设备数量、施工质量、系统功能、平台对接、运维服务等，所有指标符合要求后方可通过验收。</w:t>
      </w:r>
    </w:p>
    <w:p w14:paraId="3CE0B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eastAsia="宋体" w:cs="宋体"/>
          <w:color w:val="auto"/>
          <w:sz w:val="24"/>
          <w:szCs w:val="24"/>
          <w:highlight w:val="none"/>
          <w:lang w:val="en-US" w:eastAsia="zh-CN"/>
        </w:rPr>
        <w:t>另附：阜阳师范大学学生公寓控电统计表</w:t>
      </w:r>
    </w:p>
    <w:p w14:paraId="2F17E74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4"/>
          <w:szCs w:val="24"/>
          <w:highlight w:val="none"/>
          <w:lang w:val="en-US" w:eastAsia="zh-CN"/>
        </w:rPr>
      </w:pPr>
      <w:r>
        <w:rPr>
          <w:color w:val="auto"/>
          <w:highlight w:val="none"/>
        </w:rPr>
        <w:br w:type="page"/>
      </w:r>
    </w:p>
    <w:tbl>
      <w:tblPr>
        <w:tblStyle w:val="1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94"/>
        <w:gridCol w:w="622"/>
        <w:gridCol w:w="795"/>
        <w:gridCol w:w="665"/>
        <w:gridCol w:w="794"/>
        <w:gridCol w:w="669"/>
        <w:gridCol w:w="655"/>
        <w:gridCol w:w="528"/>
        <w:gridCol w:w="713"/>
        <w:gridCol w:w="441"/>
        <w:gridCol w:w="624"/>
        <w:gridCol w:w="722"/>
      </w:tblGrid>
      <w:tr w14:paraId="5B00F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19D74FB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区号</w:t>
            </w: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3987A04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楼号</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3073B7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照明数量</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4ABC23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照明电表箱数量</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3B601D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空调数量</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AB0AEA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空调电表箱数量</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88F502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双控数量</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ECF3B0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双控电表箱数量</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D2D840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安装年份</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98323A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楼层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8C0D9E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控电位置</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03229E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74836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C0813A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清河校区</w:t>
            </w:r>
          </w:p>
        </w:tc>
        <w:tc>
          <w:tcPr>
            <w:tcW w:w="590" w:type="dxa"/>
            <w:tcBorders>
              <w:top w:val="single" w:color="000000" w:sz="4" w:space="0"/>
              <w:left w:val="nil"/>
              <w:bottom w:val="single" w:color="000000" w:sz="4" w:space="0"/>
              <w:right w:val="single" w:color="000000" w:sz="4" w:space="0"/>
            </w:tcBorders>
            <w:noWrap w:val="0"/>
            <w:vAlign w:val="center"/>
          </w:tcPr>
          <w:p w14:paraId="27436F2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西清苑1#楼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EDD542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30FCF99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F0E138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365434B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05A22A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EEE279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227FEB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1FF65C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3A043C2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BB63976">
            <w:pPr>
              <w:snapToGrid w:val="0"/>
              <w:jc w:val="center"/>
              <w:rPr>
                <w:rFonts w:hint="eastAsia" w:ascii="宋体" w:hAnsi="宋体" w:eastAsia="宋体" w:cs="宋体"/>
                <w:i w:val="0"/>
                <w:iCs w:val="0"/>
                <w:color w:val="auto"/>
                <w:sz w:val="22"/>
                <w:szCs w:val="22"/>
                <w:highlight w:val="none"/>
                <w:u w:val="none"/>
              </w:rPr>
            </w:pPr>
          </w:p>
        </w:tc>
      </w:tr>
      <w:tr w14:paraId="2D182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9F507D4">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29A31EE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西清苑2#楼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8D258F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771409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F7C501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FACFB7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24C9F6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3CA1513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07F94A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空调2015年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D0191E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A8989B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77451A2">
            <w:pPr>
              <w:snapToGrid w:val="0"/>
              <w:jc w:val="center"/>
              <w:rPr>
                <w:rFonts w:hint="eastAsia" w:ascii="宋体" w:hAnsi="宋体" w:eastAsia="宋体" w:cs="宋体"/>
                <w:i w:val="0"/>
                <w:iCs w:val="0"/>
                <w:color w:val="auto"/>
                <w:sz w:val="22"/>
                <w:szCs w:val="22"/>
                <w:highlight w:val="none"/>
                <w:u w:val="none"/>
              </w:rPr>
            </w:pPr>
          </w:p>
        </w:tc>
      </w:tr>
      <w:tr w14:paraId="07E6C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7AA0AB7">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5839AE7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西清苑3#楼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72391C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859591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BD754D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734A6D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FC7B18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7468CB1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0088C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空调2016年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6CCABD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B37E42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2A8E390">
            <w:pPr>
              <w:snapToGrid w:val="0"/>
              <w:jc w:val="center"/>
              <w:rPr>
                <w:rFonts w:hint="eastAsia" w:ascii="宋体" w:hAnsi="宋体" w:eastAsia="宋体" w:cs="宋体"/>
                <w:i w:val="0"/>
                <w:iCs w:val="0"/>
                <w:color w:val="auto"/>
                <w:sz w:val="22"/>
                <w:szCs w:val="22"/>
                <w:highlight w:val="none"/>
                <w:u w:val="none"/>
              </w:rPr>
            </w:pPr>
          </w:p>
        </w:tc>
      </w:tr>
      <w:tr w14:paraId="7BD1B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A9ECC77">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5CD9456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西清苑4#楼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577D2D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34A7775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5D7A63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153</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0C1D0E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F84F39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75FEE46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CAC92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空调2017年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7331979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0C6946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4C3E302">
            <w:pPr>
              <w:snapToGrid w:val="0"/>
              <w:jc w:val="center"/>
              <w:rPr>
                <w:rFonts w:hint="eastAsia" w:ascii="宋体" w:hAnsi="宋体" w:eastAsia="宋体" w:cs="宋体"/>
                <w:i w:val="0"/>
                <w:iCs w:val="0"/>
                <w:color w:val="auto"/>
                <w:sz w:val="22"/>
                <w:szCs w:val="22"/>
                <w:highlight w:val="none"/>
                <w:u w:val="none"/>
              </w:rPr>
            </w:pPr>
          </w:p>
        </w:tc>
      </w:tr>
      <w:tr w14:paraId="5FBF4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8BFD78E">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6E03951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西清苑5#楼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8C80D1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E4D39E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0F81CE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CCDBC5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7F84E26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F14AB4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687286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照明2009年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796CB44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D2ADFB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09AB56F3">
            <w:pPr>
              <w:snapToGrid w:val="0"/>
              <w:jc w:val="center"/>
              <w:rPr>
                <w:rFonts w:hint="eastAsia" w:ascii="宋体" w:hAnsi="宋体" w:eastAsia="宋体" w:cs="宋体"/>
                <w:i w:val="0"/>
                <w:iCs w:val="0"/>
                <w:color w:val="auto"/>
                <w:sz w:val="22"/>
                <w:szCs w:val="22"/>
                <w:highlight w:val="none"/>
                <w:u w:val="none"/>
              </w:rPr>
            </w:pPr>
          </w:p>
        </w:tc>
      </w:tr>
      <w:tr w14:paraId="1FEB7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D394B01">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5B33221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西清苑6#楼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796F0B4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F5E191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0CE942B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152</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BA2453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B89931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BDEEA3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B50E6E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DCAB98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6F1648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3C5E0C5">
            <w:pPr>
              <w:snapToGrid w:val="0"/>
              <w:jc w:val="center"/>
              <w:rPr>
                <w:rFonts w:hint="eastAsia" w:ascii="宋体" w:hAnsi="宋体" w:eastAsia="宋体" w:cs="宋体"/>
                <w:i w:val="0"/>
                <w:iCs w:val="0"/>
                <w:color w:val="auto"/>
                <w:sz w:val="22"/>
                <w:szCs w:val="22"/>
                <w:highlight w:val="none"/>
                <w:u w:val="none"/>
              </w:rPr>
            </w:pPr>
          </w:p>
        </w:tc>
      </w:tr>
      <w:tr w14:paraId="740E1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91C91B7">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42AA8CB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西清苑7#楼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A276DC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1D9EE4D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AFACF9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165</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8D1698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771D74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AA48F9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EC0E32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照明2023年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02C84B5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6FFBDE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5E0AF0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照明不在改造范围内</w:t>
            </w:r>
          </w:p>
        </w:tc>
      </w:tr>
      <w:tr w14:paraId="6179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ACD51B0">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479F50F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西清苑8#楼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1E72DF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B50DE5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92AFBD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4CCD98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FA408A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409A23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8352F3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2021年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9868A2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1F4F08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集中</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F5381E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077CA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657D278">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6F7FC0F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东清苑1#楼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9C2E6C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004CD0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7C6BF7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5101181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3A8CFA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1DD3289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C0C0AB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2023年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2FC2F8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8FBA67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37D800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0C049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4BA1931">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346162C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东清苑2#楼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FD40B7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DB9950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0813E8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68E975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7162EC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8AA6DB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80E3E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照明2009年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73B4AAF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053336B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C01EDFA">
            <w:pPr>
              <w:snapToGrid w:val="0"/>
              <w:jc w:val="center"/>
              <w:rPr>
                <w:rFonts w:hint="eastAsia" w:ascii="宋体" w:hAnsi="宋体" w:eastAsia="宋体" w:cs="宋体"/>
                <w:i w:val="0"/>
                <w:iCs w:val="0"/>
                <w:color w:val="auto"/>
                <w:sz w:val="22"/>
                <w:szCs w:val="22"/>
                <w:highlight w:val="none"/>
                <w:u w:val="none"/>
              </w:rPr>
            </w:pPr>
          </w:p>
        </w:tc>
      </w:tr>
      <w:tr w14:paraId="02386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D37B1B1">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4597BF3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东清苑3#楼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222025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316D53E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7FCFF2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607859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0149E3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D64B49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FD106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7C15D1C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DB816C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278E0FB">
            <w:pPr>
              <w:snapToGrid w:val="0"/>
              <w:jc w:val="center"/>
              <w:rPr>
                <w:rFonts w:hint="eastAsia" w:ascii="宋体" w:hAnsi="宋体" w:eastAsia="宋体" w:cs="宋体"/>
                <w:i w:val="0"/>
                <w:iCs w:val="0"/>
                <w:color w:val="auto"/>
                <w:sz w:val="22"/>
                <w:szCs w:val="22"/>
                <w:highlight w:val="none"/>
                <w:u w:val="none"/>
              </w:rPr>
            </w:pPr>
          </w:p>
        </w:tc>
      </w:tr>
      <w:tr w14:paraId="03E8B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FA0EE85">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670B136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东清苑4#楼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77CBE53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11B13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20E1EF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8F726D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8273F6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763489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A856F2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空调2015年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20B949F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625D95E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93892C8">
            <w:pPr>
              <w:snapToGrid w:val="0"/>
              <w:jc w:val="center"/>
              <w:rPr>
                <w:rFonts w:hint="eastAsia" w:ascii="宋体" w:hAnsi="宋体" w:eastAsia="宋体" w:cs="宋体"/>
                <w:i w:val="0"/>
                <w:iCs w:val="0"/>
                <w:color w:val="auto"/>
                <w:sz w:val="22"/>
                <w:szCs w:val="22"/>
                <w:highlight w:val="none"/>
                <w:u w:val="none"/>
              </w:rPr>
            </w:pPr>
          </w:p>
        </w:tc>
      </w:tr>
      <w:tr w14:paraId="241FB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ABECB01">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0BCA3B6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东清苑5#楼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B08DBE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11F0F00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4004A9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71B0A8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73BFBA1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FA3485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1E1F73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2021年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447AF9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24B5E2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集中</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D92CD2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783C3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C9E79AE">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2FBBAB2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东清苑6#楼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785DDC2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78EBBA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41B5F3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ADCC0A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A93B9C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3BBA6D5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A9925F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2021年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2AB16B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6FE5A9C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集中</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140D3B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1A258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noWrap w:val="0"/>
            <w:vAlign w:val="center"/>
          </w:tcPr>
          <w:p w14:paraId="2A765AF4">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232A100">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1238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79A827F">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5B3F7FB">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1238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6B1C92D">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58</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1741721">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170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2882F37">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64B5000">
            <w:pPr>
              <w:snapToGrid w:val="0"/>
              <w:jc w:val="center"/>
              <w:rPr>
                <w:rFonts w:hint="eastAsia" w:ascii="宋体" w:hAnsi="宋体" w:eastAsia="宋体" w:cs="宋体"/>
                <w:b/>
                <w:bCs/>
                <w:i w:val="0"/>
                <w:iCs w:val="0"/>
                <w:color w:val="auto"/>
                <w:sz w:val="24"/>
                <w:szCs w:val="24"/>
                <w:highlight w:val="none"/>
                <w:u w:val="none"/>
              </w:rPr>
            </w:pP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55E8728">
            <w:pPr>
              <w:snapToGrid w:val="0"/>
              <w:jc w:val="center"/>
              <w:rPr>
                <w:rFonts w:hint="eastAsia" w:ascii="宋体" w:hAnsi="宋体" w:eastAsia="宋体" w:cs="宋体"/>
                <w:b/>
                <w:bCs/>
                <w:i w:val="0"/>
                <w:iCs w:val="0"/>
                <w:color w:val="auto"/>
                <w:sz w:val="22"/>
                <w:szCs w:val="22"/>
                <w:highlight w:val="none"/>
                <w:u w:val="none"/>
              </w:rPr>
            </w:pP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A92E1A1">
            <w:pPr>
              <w:snapToGrid w:val="0"/>
              <w:jc w:val="center"/>
              <w:rPr>
                <w:rFonts w:hint="eastAsia" w:ascii="宋体" w:hAnsi="宋体" w:eastAsia="宋体" w:cs="宋体"/>
                <w:b/>
                <w:bCs/>
                <w:i w:val="0"/>
                <w:iCs w:val="0"/>
                <w:color w:val="auto"/>
                <w:sz w:val="22"/>
                <w:szCs w:val="22"/>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A56F566">
            <w:pPr>
              <w:snapToGrid w:val="0"/>
              <w:jc w:val="center"/>
              <w:rPr>
                <w:rFonts w:hint="eastAsia" w:ascii="宋体" w:hAnsi="宋体" w:eastAsia="宋体" w:cs="宋体"/>
                <w:b/>
                <w:bCs/>
                <w:i w:val="0"/>
                <w:iCs w:val="0"/>
                <w:color w:val="auto"/>
                <w:sz w:val="22"/>
                <w:szCs w:val="22"/>
                <w:highlight w:val="none"/>
                <w:u w:val="none"/>
              </w:rPr>
            </w:pPr>
          </w:p>
        </w:tc>
      </w:tr>
      <w:tr w14:paraId="3C39D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51A4426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西湖校区</w:t>
            </w: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2CF5BA9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一区1号楼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F64DFA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61FF08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0D5009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7AA10D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9CE58A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52CA2C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1B6CC2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照明2022年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E5C45E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A1B858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    4-6层92间热水器</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4239DD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照明新系统，不在改造范围内。</w:t>
            </w:r>
          </w:p>
        </w:tc>
      </w:tr>
      <w:tr w14:paraId="788A3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BA38261">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7BC198D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一区2号楼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7C7CD2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74C478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856AFC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90D3942">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A2E0CC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68F8B8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18759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照明2022年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69E399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573234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434921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照明新系统，不在改造范围内。</w:t>
            </w:r>
          </w:p>
        </w:tc>
      </w:tr>
      <w:tr w14:paraId="355C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3878D0E">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07CB55C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一区3号楼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43CA7DB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33EF3EA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3E46E9F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E6B233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E8409D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B08B13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C5B4A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照明2007年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B50CB1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03F3CC1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C21ECE6">
            <w:pPr>
              <w:snapToGrid w:val="0"/>
              <w:jc w:val="center"/>
              <w:rPr>
                <w:rFonts w:hint="eastAsia" w:ascii="宋体" w:hAnsi="宋体" w:eastAsia="宋体" w:cs="宋体"/>
                <w:i w:val="0"/>
                <w:iCs w:val="0"/>
                <w:color w:val="auto"/>
                <w:sz w:val="22"/>
                <w:szCs w:val="22"/>
                <w:highlight w:val="none"/>
                <w:u w:val="none"/>
              </w:rPr>
            </w:pPr>
          </w:p>
        </w:tc>
      </w:tr>
      <w:tr w14:paraId="72B7C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36D7C08">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4F6A608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一区4号楼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F97B09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80E765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030B5AF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72CC4A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20E665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313512D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42B6D2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照明2007年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FDA0AF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8A033B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C251250">
            <w:pPr>
              <w:snapToGrid w:val="0"/>
              <w:jc w:val="center"/>
              <w:rPr>
                <w:rFonts w:hint="eastAsia" w:ascii="宋体" w:hAnsi="宋体" w:eastAsia="宋体" w:cs="宋体"/>
                <w:i w:val="0"/>
                <w:iCs w:val="0"/>
                <w:color w:val="auto"/>
                <w:sz w:val="22"/>
                <w:szCs w:val="22"/>
                <w:highlight w:val="none"/>
                <w:u w:val="none"/>
              </w:rPr>
            </w:pPr>
          </w:p>
        </w:tc>
      </w:tr>
      <w:tr w14:paraId="311EC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F61AA49">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64A60E7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一区5号楼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1C68A8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B09E91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59BE89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171</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ECC140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73490D0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289AC3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8FD4F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照明2007年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D7AACC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F2DCAD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9743C29">
            <w:pPr>
              <w:snapToGrid w:val="0"/>
              <w:jc w:val="center"/>
              <w:rPr>
                <w:rFonts w:hint="eastAsia" w:ascii="宋体" w:hAnsi="宋体" w:eastAsia="宋体" w:cs="宋体"/>
                <w:i w:val="0"/>
                <w:iCs w:val="0"/>
                <w:color w:val="auto"/>
                <w:sz w:val="22"/>
                <w:szCs w:val="22"/>
                <w:highlight w:val="none"/>
                <w:u w:val="none"/>
              </w:rPr>
            </w:pPr>
          </w:p>
        </w:tc>
      </w:tr>
      <w:tr w14:paraId="07ACA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AF47B60">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4AF760B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一区6号楼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4A028D0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79E727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8CB01A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362C3D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5AEED0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BC5E6E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A9F7A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DDC72C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DF1674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8AD2FE2">
            <w:pPr>
              <w:snapToGrid w:val="0"/>
              <w:jc w:val="center"/>
              <w:rPr>
                <w:rFonts w:hint="eastAsia" w:ascii="宋体" w:hAnsi="宋体" w:eastAsia="宋体" w:cs="宋体"/>
                <w:i w:val="0"/>
                <w:iCs w:val="0"/>
                <w:color w:val="auto"/>
                <w:sz w:val="22"/>
                <w:szCs w:val="22"/>
                <w:highlight w:val="none"/>
                <w:u w:val="none"/>
              </w:rPr>
            </w:pPr>
          </w:p>
        </w:tc>
      </w:tr>
      <w:tr w14:paraId="424A7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4CD4F19">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7A5F00A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一区7号楼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95C075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D6B277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BEEDB3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099279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5294A9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66B5626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35A6C8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370C4E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9DB4CF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    4-6层98间热水器</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5A32915">
            <w:pPr>
              <w:snapToGrid w:val="0"/>
              <w:jc w:val="center"/>
              <w:rPr>
                <w:rFonts w:hint="eastAsia" w:ascii="宋体" w:hAnsi="宋体" w:eastAsia="宋体" w:cs="宋体"/>
                <w:i w:val="0"/>
                <w:iCs w:val="0"/>
                <w:color w:val="auto"/>
                <w:sz w:val="22"/>
                <w:szCs w:val="22"/>
                <w:highlight w:val="none"/>
                <w:u w:val="none"/>
              </w:rPr>
            </w:pPr>
          </w:p>
        </w:tc>
      </w:tr>
      <w:tr w14:paraId="6D914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ABFA182">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3B1E7FF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一区8号楼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AD7D9F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6772BBA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38E6070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0CD42F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21ED04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6806421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6CCBDE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D84510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67E072A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照明集中    空调分层    </w:t>
            </w:r>
            <w:r>
              <w:rPr>
                <w:rFonts w:hint="eastAsia" w:ascii="宋体" w:hAnsi="宋体" w:eastAsia="宋体" w:cs="宋体"/>
                <w:i w:val="0"/>
                <w:iCs w:val="0"/>
                <w:color w:val="auto"/>
                <w:kern w:val="0"/>
                <w:sz w:val="21"/>
                <w:szCs w:val="21"/>
                <w:highlight w:val="none"/>
                <w:u w:val="none"/>
                <w:lang w:val="en-US" w:eastAsia="zh-CN" w:bidi="ar"/>
              </w:rPr>
              <w:t>1-6层130间热水器</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12BA0B4">
            <w:pPr>
              <w:snapToGrid w:val="0"/>
              <w:jc w:val="center"/>
              <w:rPr>
                <w:rFonts w:hint="eastAsia" w:ascii="宋体" w:hAnsi="宋体" w:eastAsia="宋体" w:cs="宋体"/>
                <w:i w:val="0"/>
                <w:iCs w:val="0"/>
                <w:color w:val="auto"/>
                <w:sz w:val="22"/>
                <w:szCs w:val="22"/>
                <w:highlight w:val="none"/>
                <w:u w:val="none"/>
              </w:rPr>
            </w:pPr>
          </w:p>
        </w:tc>
      </w:tr>
      <w:tr w14:paraId="4B9B4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11E9DB4">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59CFF4A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一区9A号楼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3D8C6E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215</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7B7A57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ED3689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215</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47D1EF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70EDA4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8388BA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5EDFD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A0126C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2C3C640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00982E6">
            <w:pPr>
              <w:snapToGrid w:val="0"/>
              <w:jc w:val="center"/>
              <w:rPr>
                <w:rFonts w:hint="eastAsia" w:ascii="宋体" w:hAnsi="宋体" w:eastAsia="宋体" w:cs="宋体"/>
                <w:i w:val="0"/>
                <w:iCs w:val="0"/>
                <w:color w:val="auto"/>
                <w:sz w:val="22"/>
                <w:szCs w:val="22"/>
                <w:highlight w:val="none"/>
                <w:u w:val="none"/>
              </w:rPr>
            </w:pPr>
          </w:p>
        </w:tc>
      </w:tr>
      <w:tr w14:paraId="6EEB6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F670F12">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654B2C7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一区9B号楼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7EB165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63807CB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4F8493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B7F8D0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E56B8B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1CA1A5C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BC436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照明2005年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8286F9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8076C2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照明集中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814BD02">
            <w:pPr>
              <w:snapToGrid w:val="0"/>
              <w:jc w:val="center"/>
              <w:rPr>
                <w:rFonts w:hint="eastAsia" w:ascii="宋体" w:hAnsi="宋体" w:eastAsia="宋体" w:cs="宋体"/>
                <w:i w:val="0"/>
                <w:iCs w:val="0"/>
                <w:color w:val="auto"/>
                <w:sz w:val="22"/>
                <w:szCs w:val="22"/>
                <w:highlight w:val="none"/>
                <w:u w:val="none"/>
              </w:rPr>
            </w:pPr>
          </w:p>
        </w:tc>
      </w:tr>
      <w:tr w14:paraId="5A3A7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B0C5C02">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2575D00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二区1号楼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5DCC281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B3281D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089FAA3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6441F4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85F45D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223F32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73094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500450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C12837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753230D">
            <w:pPr>
              <w:snapToGrid w:val="0"/>
              <w:jc w:val="center"/>
              <w:rPr>
                <w:rFonts w:hint="eastAsia" w:ascii="宋体" w:hAnsi="宋体" w:eastAsia="宋体" w:cs="宋体"/>
                <w:i w:val="0"/>
                <w:iCs w:val="0"/>
                <w:color w:val="auto"/>
                <w:sz w:val="22"/>
                <w:szCs w:val="22"/>
                <w:highlight w:val="none"/>
                <w:u w:val="none"/>
              </w:rPr>
            </w:pPr>
          </w:p>
        </w:tc>
      </w:tr>
      <w:tr w14:paraId="372B7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BB70F60">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30418D6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二区2号楼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1569A9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144B895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822C2C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C7DD9B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68522B8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415D37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677303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70108B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99FD5B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BB14A7C">
            <w:pPr>
              <w:snapToGrid w:val="0"/>
              <w:jc w:val="center"/>
              <w:rPr>
                <w:rFonts w:hint="eastAsia" w:ascii="宋体" w:hAnsi="宋体" w:eastAsia="宋体" w:cs="宋体"/>
                <w:i w:val="0"/>
                <w:iCs w:val="0"/>
                <w:color w:val="auto"/>
                <w:sz w:val="22"/>
                <w:szCs w:val="22"/>
                <w:highlight w:val="none"/>
                <w:u w:val="none"/>
              </w:rPr>
            </w:pPr>
          </w:p>
        </w:tc>
      </w:tr>
      <w:tr w14:paraId="2A9FB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DA35BF9">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6D5007B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二区3号楼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9B2854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31BF86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53090D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CC24BF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A29275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A47347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6E0329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64B1F0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EAC5D7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A226B8A">
            <w:pPr>
              <w:snapToGrid w:val="0"/>
              <w:jc w:val="center"/>
              <w:rPr>
                <w:rFonts w:hint="eastAsia" w:ascii="宋体" w:hAnsi="宋体" w:eastAsia="宋体" w:cs="宋体"/>
                <w:i w:val="0"/>
                <w:iCs w:val="0"/>
                <w:color w:val="auto"/>
                <w:sz w:val="22"/>
                <w:szCs w:val="22"/>
                <w:highlight w:val="none"/>
                <w:u w:val="none"/>
              </w:rPr>
            </w:pPr>
          </w:p>
        </w:tc>
      </w:tr>
      <w:tr w14:paraId="5485D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DD4ED4E">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5BED457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二区4号楼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51D80C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8C4039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984DE6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9F9D43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A502DA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7EAF2DA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5970A2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6682B6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445EF1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156AC91">
            <w:pPr>
              <w:snapToGrid w:val="0"/>
              <w:jc w:val="center"/>
              <w:rPr>
                <w:rFonts w:hint="eastAsia" w:ascii="宋体" w:hAnsi="宋体" w:eastAsia="宋体" w:cs="宋体"/>
                <w:i w:val="0"/>
                <w:iCs w:val="0"/>
                <w:color w:val="auto"/>
                <w:sz w:val="22"/>
                <w:szCs w:val="22"/>
                <w:highlight w:val="none"/>
                <w:u w:val="none"/>
              </w:rPr>
            </w:pPr>
          </w:p>
        </w:tc>
      </w:tr>
      <w:tr w14:paraId="2C917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5CDB8F5">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34B3190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二区5号楼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3E33A2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F4DF8E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06DDDD4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C67DB6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0829092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317F69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1F3DB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AA29EE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1801E0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192F3A6">
            <w:pPr>
              <w:snapToGrid w:val="0"/>
              <w:jc w:val="center"/>
              <w:rPr>
                <w:rFonts w:hint="eastAsia" w:ascii="宋体" w:hAnsi="宋体" w:eastAsia="宋体" w:cs="宋体"/>
                <w:i w:val="0"/>
                <w:iCs w:val="0"/>
                <w:color w:val="auto"/>
                <w:sz w:val="22"/>
                <w:szCs w:val="22"/>
                <w:highlight w:val="none"/>
                <w:u w:val="none"/>
              </w:rPr>
            </w:pPr>
          </w:p>
        </w:tc>
      </w:tr>
      <w:tr w14:paraId="04090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2C79131">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03A707F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二区6号楼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DF516C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35A09AA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49B009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F03A60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90EDD1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5E1F0D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0D199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724E432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7CD72D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A2EF9BA">
            <w:pPr>
              <w:snapToGrid w:val="0"/>
              <w:jc w:val="center"/>
              <w:rPr>
                <w:rFonts w:hint="eastAsia" w:ascii="宋体" w:hAnsi="宋体" w:eastAsia="宋体" w:cs="宋体"/>
                <w:i w:val="0"/>
                <w:iCs w:val="0"/>
                <w:color w:val="auto"/>
                <w:sz w:val="22"/>
                <w:szCs w:val="22"/>
                <w:highlight w:val="none"/>
                <w:u w:val="none"/>
              </w:rPr>
            </w:pPr>
          </w:p>
        </w:tc>
      </w:tr>
      <w:tr w14:paraId="09050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9049920">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57194B5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二区7号楼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87E576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754446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63E1FFC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548726C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8D1680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75B9D7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7ACF2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1453A3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3A300F1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B0EF7E4">
            <w:pPr>
              <w:snapToGrid w:val="0"/>
              <w:jc w:val="center"/>
              <w:rPr>
                <w:rFonts w:hint="eastAsia" w:ascii="宋体" w:hAnsi="宋体" w:eastAsia="宋体" w:cs="宋体"/>
                <w:i w:val="0"/>
                <w:iCs w:val="0"/>
                <w:color w:val="auto"/>
                <w:sz w:val="22"/>
                <w:szCs w:val="22"/>
                <w:highlight w:val="none"/>
                <w:u w:val="none"/>
              </w:rPr>
            </w:pPr>
          </w:p>
        </w:tc>
      </w:tr>
      <w:tr w14:paraId="336D0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3504123">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59C212B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二区8号楼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997E4E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9B2661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A926FE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7BAA01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19AA68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F32083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E8517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照明2013年</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A8FD3C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431309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66A5CF6">
            <w:pPr>
              <w:snapToGrid w:val="0"/>
              <w:jc w:val="center"/>
              <w:rPr>
                <w:rFonts w:hint="eastAsia" w:ascii="宋体" w:hAnsi="宋体" w:eastAsia="宋体" w:cs="宋体"/>
                <w:i w:val="0"/>
                <w:iCs w:val="0"/>
                <w:color w:val="auto"/>
                <w:sz w:val="22"/>
                <w:szCs w:val="22"/>
                <w:highlight w:val="none"/>
                <w:u w:val="none"/>
              </w:rPr>
            </w:pPr>
          </w:p>
        </w:tc>
      </w:tr>
      <w:tr w14:paraId="11075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D5558D3">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783EFEB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二区9号楼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FF99BC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60628F6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3AB9502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992BC1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547A24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BFCD76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6D7A8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F57121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C6912D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FAFF29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3D38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9769667">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14561D4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二区10号楼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6F65FB4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EF9BCC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CE1CEA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AEECDE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65D418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797B52E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D7D91D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4175BA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315B59F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8B64DE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32645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7C5901F">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45802EA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二区11号楼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BDD90A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F3776D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0ED5C9B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F306AF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0A0C94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106</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22BBE0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A91563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36544A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34FB0D9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D731C6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11460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DAFAD50">
            <w:pPr>
              <w:snapToGrid w:val="0"/>
              <w:jc w:val="center"/>
              <w:rPr>
                <w:rFonts w:hint="eastAsia" w:ascii="宋体" w:hAnsi="宋体" w:eastAsia="宋体" w:cs="宋体"/>
                <w:i w:val="0"/>
                <w:iCs w:val="0"/>
                <w:color w:val="auto"/>
                <w:sz w:val="22"/>
                <w:szCs w:val="22"/>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1C3116D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二区12号楼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05235A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C90248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3DA4C19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46320A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6A666D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4A688DC">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9BC538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2024年</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04AC739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56585C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0C6CD69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新系统，不在改造范围内。</w:t>
            </w:r>
          </w:p>
        </w:tc>
      </w:tr>
      <w:tr w14:paraId="3B7AC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noWrap w:val="0"/>
            <w:vAlign w:val="center"/>
          </w:tcPr>
          <w:p w14:paraId="5BE966BB">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787D16A6">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2865</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A8831CD">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68</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1545AB94">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2865</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0C91138">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108</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470B40D">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520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3ECB8B53">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24</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EB2D35">
            <w:pPr>
              <w:snapToGrid w:val="0"/>
              <w:jc w:val="center"/>
              <w:rPr>
                <w:rFonts w:hint="eastAsia" w:ascii="宋体" w:hAnsi="宋体" w:eastAsia="宋体" w:cs="宋体"/>
                <w:b/>
                <w:bCs/>
                <w:i w:val="0"/>
                <w:iCs w:val="0"/>
                <w:color w:val="auto"/>
                <w:sz w:val="24"/>
                <w:szCs w:val="24"/>
                <w:highlight w:val="none"/>
                <w:u w:val="none"/>
              </w:rPr>
            </w:pP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6B9E219">
            <w:pPr>
              <w:snapToGrid w:val="0"/>
              <w:jc w:val="center"/>
              <w:rPr>
                <w:rFonts w:hint="eastAsia" w:ascii="宋体" w:hAnsi="宋体" w:eastAsia="宋体" w:cs="宋体"/>
                <w:b/>
                <w:bCs/>
                <w:i w:val="0"/>
                <w:iCs w:val="0"/>
                <w:color w:val="auto"/>
                <w:sz w:val="24"/>
                <w:szCs w:val="24"/>
                <w:highlight w:val="none"/>
                <w:u w:val="none"/>
              </w:rPr>
            </w:pP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05C03CC">
            <w:pPr>
              <w:snapToGrid w:val="0"/>
              <w:jc w:val="center"/>
              <w:rPr>
                <w:rFonts w:hint="eastAsia" w:ascii="宋体" w:hAnsi="宋体" w:eastAsia="宋体" w:cs="宋体"/>
                <w:b/>
                <w:bCs/>
                <w:i w:val="0"/>
                <w:iCs w:val="0"/>
                <w:color w:val="auto"/>
                <w:sz w:val="24"/>
                <w:szCs w:val="24"/>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07B90A31">
            <w:pPr>
              <w:snapToGrid w:val="0"/>
              <w:jc w:val="center"/>
              <w:rPr>
                <w:rFonts w:hint="eastAsia" w:ascii="宋体" w:hAnsi="宋体" w:eastAsia="宋体" w:cs="宋体"/>
                <w:b/>
                <w:bCs/>
                <w:i w:val="0"/>
                <w:iCs w:val="0"/>
                <w:color w:val="auto"/>
                <w:sz w:val="24"/>
                <w:szCs w:val="24"/>
                <w:highlight w:val="none"/>
                <w:u w:val="none"/>
              </w:rPr>
            </w:pPr>
          </w:p>
        </w:tc>
      </w:tr>
      <w:tr w14:paraId="619A3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ED5A58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三里桥校园</w:t>
            </w:r>
          </w:p>
        </w:tc>
        <w:tc>
          <w:tcPr>
            <w:tcW w:w="590" w:type="dxa"/>
            <w:tcBorders>
              <w:top w:val="single" w:color="000000" w:sz="4" w:space="0"/>
              <w:left w:val="nil"/>
              <w:bottom w:val="single" w:color="000000" w:sz="4" w:space="0"/>
              <w:right w:val="single" w:color="000000" w:sz="4" w:space="0"/>
            </w:tcBorders>
            <w:noWrap w:val="0"/>
            <w:vAlign w:val="center"/>
          </w:tcPr>
          <w:p w14:paraId="30F1D4D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5AED089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9264E8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8B99A0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EBA2F9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179C0B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1125E3BE">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1C2974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6F56FC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493E1D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012A0B61">
            <w:pPr>
              <w:snapToGrid w:val="0"/>
              <w:jc w:val="center"/>
              <w:rPr>
                <w:rFonts w:hint="eastAsia" w:ascii="宋体" w:hAnsi="宋体" w:eastAsia="宋体" w:cs="宋体"/>
                <w:i w:val="0"/>
                <w:iCs w:val="0"/>
                <w:color w:val="auto"/>
                <w:sz w:val="22"/>
                <w:szCs w:val="22"/>
                <w:highlight w:val="none"/>
                <w:u w:val="none"/>
              </w:rPr>
            </w:pPr>
          </w:p>
        </w:tc>
      </w:tr>
      <w:tr w14:paraId="3ADBA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68EFE2A">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35C2D8F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62ABD0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4F9A73A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EC30F4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C2D6D0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62AF4F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F43248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B05C6B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3F7BCD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06C284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5E7BFC0">
            <w:pPr>
              <w:snapToGrid w:val="0"/>
              <w:jc w:val="center"/>
              <w:rPr>
                <w:rFonts w:hint="eastAsia" w:ascii="宋体" w:hAnsi="宋体" w:eastAsia="宋体" w:cs="宋体"/>
                <w:i w:val="0"/>
                <w:iCs w:val="0"/>
                <w:color w:val="auto"/>
                <w:sz w:val="22"/>
                <w:szCs w:val="22"/>
                <w:highlight w:val="none"/>
                <w:u w:val="none"/>
              </w:rPr>
            </w:pPr>
          </w:p>
        </w:tc>
      </w:tr>
      <w:tr w14:paraId="48BA0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87A0176">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7336D61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9CC94B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B59D5C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72618C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5A97DC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0D6CD8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D6752C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F1D7CE1">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3CC8C9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3FE700E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222B398">
            <w:pPr>
              <w:snapToGrid w:val="0"/>
              <w:jc w:val="center"/>
              <w:rPr>
                <w:rFonts w:hint="eastAsia" w:ascii="宋体" w:hAnsi="宋体" w:eastAsia="宋体" w:cs="宋体"/>
                <w:i w:val="0"/>
                <w:iCs w:val="0"/>
                <w:color w:val="auto"/>
                <w:sz w:val="22"/>
                <w:szCs w:val="22"/>
                <w:highlight w:val="none"/>
                <w:u w:val="none"/>
              </w:rPr>
            </w:pPr>
          </w:p>
        </w:tc>
      </w:tr>
      <w:tr w14:paraId="7570F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1517DAE5">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6A94EC2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3F1AC5D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78D7F16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BED45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D9DAC8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3B2C649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7D7D8A5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1959A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ECABD8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C5B2BF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4F415FE">
            <w:pPr>
              <w:snapToGrid w:val="0"/>
              <w:jc w:val="center"/>
              <w:rPr>
                <w:rFonts w:hint="eastAsia" w:ascii="宋体" w:hAnsi="宋体" w:eastAsia="宋体" w:cs="宋体"/>
                <w:i w:val="0"/>
                <w:iCs w:val="0"/>
                <w:color w:val="auto"/>
                <w:sz w:val="22"/>
                <w:szCs w:val="22"/>
                <w:highlight w:val="none"/>
                <w:u w:val="none"/>
              </w:rPr>
            </w:pPr>
          </w:p>
        </w:tc>
      </w:tr>
      <w:tr w14:paraId="7FCF6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27D7BBA">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4048402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53FDDC5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222</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0D0686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77DCD3E0">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222</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3E83824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7922E55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6876AC9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2F50654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48CDBE74">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75D7084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FD2E9EA">
            <w:pPr>
              <w:snapToGrid w:val="0"/>
              <w:jc w:val="center"/>
              <w:rPr>
                <w:rFonts w:hint="eastAsia" w:ascii="宋体" w:hAnsi="宋体" w:eastAsia="宋体" w:cs="宋体"/>
                <w:i w:val="0"/>
                <w:iCs w:val="0"/>
                <w:color w:val="auto"/>
                <w:sz w:val="22"/>
                <w:szCs w:val="22"/>
                <w:highlight w:val="none"/>
                <w:u w:val="none"/>
              </w:rPr>
            </w:pPr>
          </w:p>
        </w:tc>
      </w:tr>
      <w:tr w14:paraId="373DC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6F54DED">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08A17E8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50AB36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EFBF6F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32FFF507">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166</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5F87A3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C3C4F8D">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454D2B0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A7DA70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4622FD7">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5EC6145">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7E692AD2">
            <w:pPr>
              <w:snapToGrid w:val="0"/>
              <w:jc w:val="center"/>
              <w:rPr>
                <w:rFonts w:hint="eastAsia" w:ascii="宋体" w:hAnsi="宋体" w:eastAsia="宋体" w:cs="宋体"/>
                <w:i w:val="0"/>
                <w:iCs w:val="0"/>
                <w:color w:val="auto"/>
                <w:sz w:val="22"/>
                <w:szCs w:val="22"/>
                <w:highlight w:val="none"/>
                <w:u w:val="none"/>
              </w:rPr>
            </w:pPr>
          </w:p>
        </w:tc>
      </w:tr>
      <w:tr w14:paraId="5E6BA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9789006">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50DE8B1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0560FEE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154</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09FD975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7CFFF4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154</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56481AA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2FA74B0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2424AC0D">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D2F75EA">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照明2012</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3BC8D353">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72B1189">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53CE807">
            <w:pPr>
              <w:snapToGrid w:val="0"/>
              <w:jc w:val="center"/>
              <w:rPr>
                <w:rFonts w:hint="eastAsia" w:ascii="宋体" w:hAnsi="宋体" w:eastAsia="宋体" w:cs="宋体"/>
                <w:i w:val="0"/>
                <w:iCs w:val="0"/>
                <w:color w:val="auto"/>
                <w:sz w:val="22"/>
                <w:szCs w:val="22"/>
                <w:highlight w:val="none"/>
                <w:u w:val="none"/>
              </w:rPr>
            </w:pPr>
          </w:p>
        </w:tc>
      </w:tr>
      <w:tr w14:paraId="520A4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63BDF9C">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640A0E2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281770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209</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6401A6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5716F39E">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209</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64F249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4997823">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12176B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506FCC86">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6D01424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10C3A6A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ED09FC2">
            <w:pPr>
              <w:snapToGrid w:val="0"/>
              <w:jc w:val="center"/>
              <w:rPr>
                <w:rFonts w:hint="eastAsia" w:ascii="宋体" w:hAnsi="宋体" w:eastAsia="宋体" w:cs="宋体"/>
                <w:i w:val="0"/>
                <w:iCs w:val="0"/>
                <w:color w:val="auto"/>
                <w:sz w:val="22"/>
                <w:szCs w:val="22"/>
                <w:highlight w:val="none"/>
                <w:u w:val="none"/>
              </w:rPr>
            </w:pPr>
          </w:p>
        </w:tc>
      </w:tr>
      <w:tr w14:paraId="08C3C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F1746BA">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nil"/>
              <w:bottom w:val="single" w:color="000000" w:sz="4" w:space="0"/>
              <w:right w:val="single" w:color="000000" w:sz="4" w:space="0"/>
            </w:tcBorders>
            <w:noWrap w:val="0"/>
            <w:vAlign w:val="center"/>
          </w:tcPr>
          <w:p w14:paraId="1305A8A9">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48CF4CA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88AB78C">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4863CF1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140</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37DAEF1F">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504183C4">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3A13730B">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124583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照明2010</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空调2014</w:t>
            </w: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15141040">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654872C2">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照明分层    空调分层</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A4C9A57">
            <w:pPr>
              <w:snapToGrid w:val="0"/>
              <w:jc w:val="center"/>
              <w:rPr>
                <w:rFonts w:hint="eastAsia" w:ascii="宋体" w:hAnsi="宋体" w:eastAsia="宋体" w:cs="宋体"/>
                <w:i w:val="0"/>
                <w:iCs w:val="0"/>
                <w:color w:val="auto"/>
                <w:sz w:val="22"/>
                <w:szCs w:val="22"/>
                <w:highlight w:val="none"/>
                <w:u w:val="none"/>
              </w:rPr>
            </w:pPr>
          </w:p>
        </w:tc>
      </w:tr>
      <w:tr w14:paraId="1B2E9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4587BAB">
            <w:pPr>
              <w:snapToGrid w:val="0"/>
              <w:jc w:val="center"/>
              <w:rPr>
                <w:rFonts w:hint="eastAsia" w:ascii="宋体" w:hAnsi="宋体" w:eastAsia="宋体" w:cs="宋体"/>
                <w:i w:val="0"/>
                <w:iCs w:val="0"/>
                <w:color w:val="auto"/>
                <w:sz w:val="24"/>
                <w:szCs w:val="24"/>
                <w:highlight w:val="none"/>
                <w:u w:val="none"/>
              </w:rPr>
            </w:pPr>
          </w:p>
        </w:tc>
        <w:tc>
          <w:tcPr>
            <w:tcW w:w="590" w:type="dxa"/>
            <w:tcBorders>
              <w:top w:val="single" w:color="000000" w:sz="4" w:space="0"/>
              <w:left w:val="single" w:color="000000" w:sz="4" w:space="0"/>
              <w:bottom w:val="single" w:color="000000" w:sz="4" w:space="0"/>
              <w:right w:val="single" w:color="000000" w:sz="4" w:space="0"/>
            </w:tcBorders>
            <w:noWrap w:val="0"/>
            <w:vAlign w:val="center"/>
          </w:tcPr>
          <w:p w14:paraId="00D92796">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10#楼</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1459AC7A">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4B50655">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85B1F18">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16E9CD1">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144DCB5B">
            <w:pPr>
              <w:keepNext w:val="0"/>
              <w:keepLines w:val="0"/>
              <w:widowControl/>
              <w:suppressLineNumbers w:val="0"/>
              <w:snapToGrid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14E4E68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06825D8">
            <w:pPr>
              <w:snapToGrid w:val="0"/>
              <w:jc w:val="center"/>
              <w:rPr>
                <w:rFonts w:hint="eastAsia" w:ascii="宋体" w:hAnsi="宋体" w:eastAsia="宋体" w:cs="宋体"/>
                <w:i w:val="0"/>
                <w:iCs w:val="0"/>
                <w:color w:val="auto"/>
                <w:sz w:val="22"/>
                <w:szCs w:val="22"/>
                <w:highlight w:val="none"/>
                <w:u w:val="none"/>
              </w:rPr>
            </w:pP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5F8AF528">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3层</w:t>
            </w: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D3FF23F">
            <w:pPr>
              <w:keepNext w:val="0"/>
              <w:keepLines w:val="0"/>
              <w:widowControl/>
              <w:suppressLineNumbers w:val="0"/>
              <w:snapToGrid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新做</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50CD4BE0">
            <w:pPr>
              <w:snapToGrid w:val="0"/>
              <w:jc w:val="center"/>
              <w:rPr>
                <w:rFonts w:hint="eastAsia" w:ascii="宋体" w:hAnsi="宋体" w:eastAsia="宋体" w:cs="宋体"/>
                <w:i w:val="0"/>
                <w:iCs w:val="0"/>
                <w:color w:val="auto"/>
                <w:sz w:val="22"/>
                <w:szCs w:val="22"/>
                <w:highlight w:val="none"/>
                <w:u w:val="none"/>
              </w:rPr>
            </w:pPr>
          </w:p>
        </w:tc>
      </w:tr>
      <w:tr w14:paraId="50979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noWrap w:val="0"/>
            <w:vAlign w:val="center"/>
          </w:tcPr>
          <w:p w14:paraId="723C4ADD">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合计：</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4A99C390">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1268</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27E84C15">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93</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BF16220">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1268</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3C306EF9">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89</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7B3365D0">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50DB7FFF">
            <w:pPr>
              <w:keepNext w:val="0"/>
              <w:keepLines w:val="0"/>
              <w:widowControl/>
              <w:suppressLineNumbers w:val="0"/>
              <w:snapToGrid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737267E">
            <w:pPr>
              <w:snapToGrid w:val="0"/>
              <w:jc w:val="center"/>
              <w:rPr>
                <w:rFonts w:hint="eastAsia" w:ascii="宋体" w:hAnsi="宋体" w:eastAsia="宋体" w:cs="宋体"/>
                <w:b/>
                <w:bCs/>
                <w:i w:val="0"/>
                <w:iCs w:val="0"/>
                <w:color w:val="auto"/>
                <w:sz w:val="24"/>
                <w:szCs w:val="24"/>
                <w:highlight w:val="none"/>
                <w:u w:val="none"/>
              </w:rPr>
            </w:pP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24B912EB">
            <w:pPr>
              <w:snapToGrid w:val="0"/>
              <w:jc w:val="center"/>
              <w:rPr>
                <w:rFonts w:hint="eastAsia" w:ascii="宋体" w:hAnsi="宋体" w:eastAsia="宋体" w:cs="宋体"/>
                <w:i w:val="0"/>
                <w:iCs w:val="0"/>
                <w:color w:val="auto"/>
                <w:sz w:val="22"/>
                <w:szCs w:val="22"/>
                <w:highlight w:val="none"/>
                <w:u w:val="none"/>
              </w:rPr>
            </w:pP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5F050DC1">
            <w:pPr>
              <w:snapToGrid w:val="0"/>
              <w:jc w:val="center"/>
              <w:rPr>
                <w:rFonts w:hint="eastAsia" w:ascii="宋体" w:hAnsi="宋体" w:eastAsia="宋体" w:cs="宋体"/>
                <w:i w:val="0"/>
                <w:iCs w:val="0"/>
                <w:color w:val="auto"/>
                <w:sz w:val="22"/>
                <w:szCs w:val="22"/>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FFB0772">
            <w:pPr>
              <w:snapToGrid w:val="0"/>
              <w:jc w:val="center"/>
              <w:rPr>
                <w:rFonts w:hint="eastAsia" w:ascii="宋体" w:hAnsi="宋体" w:eastAsia="宋体" w:cs="宋体"/>
                <w:i w:val="0"/>
                <w:iCs w:val="0"/>
                <w:color w:val="auto"/>
                <w:sz w:val="22"/>
                <w:szCs w:val="22"/>
                <w:highlight w:val="none"/>
                <w:u w:val="none"/>
              </w:rPr>
            </w:pPr>
          </w:p>
        </w:tc>
      </w:tr>
      <w:tr w14:paraId="1B350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2"/>
            <w:tcBorders>
              <w:top w:val="single" w:color="000000" w:sz="4" w:space="0"/>
              <w:left w:val="single" w:color="000000" w:sz="4" w:space="0"/>
              <w:bottom w:val="single" w:color="000000" w:sz="4" w:space="0"/>
              <w:right w:val="single" w:color="000000" w:sz="4" w:space="0"/>
            </w:tcBorders>
            <w:noWrap w:val="0"/>
            <w:vAlign w:val="center"/>
          </w:tcPr>
          <w:p w14:paraId="022B33BB">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总合计：</w:t>
            </w:r>
          </w:p>
        </w:tc>
        <w:tc>
          <w:tcPr>
            <w:tcW w:w="786" w:type="dxa"/>
            <w:tcBorders>
              <w:top w:val="single" w:color="000000" w:sz="4" w:space="0"/>
              <w:left w:val="single" w:color="000000" w:sz="4" w:space="0"/>
              <w:bottom w:val="single" w:color="000000" w:sz="4" w:space="0"/>
              <w:right w:val="single" w:color="000000" w:sz="4" w:space="0"/>
            </w:tcBorders>
            <w:noWrap w:val="0"/>
            <w:vAlign w:val="center"/>
          </w:tcPr>
          <w:p w14:paraId="26E69D5D">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5371</w:t>
            </w:r>
          </w:p>
        </w:tc>
        <w:tc>
          <w:tcPr>
            <w:tcW w:w="658" w:type="dxa"/>
            <w:tcBorders>
              <w:top w:val="single" w:color="000000" w:sz="4" w:space="0"/>
              <w:left w:val="single" w:color="000000" w:sz="4" w:space="0"/>
              <w:bottom w:val="single" w:color="000000" w:sz="4" w:space="0"/>
              <w:right w:val="single" w:color="000000" w:sz="4" w:space="0"/>
            </w:tcBorders>
            <w:noWrap w:val="0"/>
            <w:vAlign w:val="center"/>
          </w:tcPr>
          <w:p w14:paraId="5256ACD6">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183</w:t>
            </w:r>
          </w:p>
        </w:tc>
        <w:tc>
          <w:tcPr>
            <w:tcW w:w="785" w:type="dxa"/>
            <w:tcBorders>
              <w:top w:val="single" w:color="000000" w:sz="4" w:space="0"/>
              <w:left w:val="single" w:color="000000" w:sz="4" w:space="0"/>
              <w:bottom w:val="single" w:color="000000" w:sz="4" w:space="0"/>
              <w:right w:val="single" w:color="000000" w:sz="4" w:space="0"/>
            </w:tcBorders>
            <w:noWrap w:val="0"/>
            <w:vAlign w:val="center"/>
          </w:tcPr>
          <w:p w14:paraId="220DD0A1">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5371</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3BCB965">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255</w:t>
            </w:r>
          </w:p>
        </w:tc>
        <w:tc>
          <w:tcPr>
            <w:tcW w:w="648" w:type="dxa"/>
            <w:tcBorders>
              <w:top w:val="single" w:color="000000" w:sz="4" w:space="0"/>
              <w:left w:val="single" w:color="000000" w:sz="4" w:space="0"/>
              <w:bottom w:val="single" w:color="000000" w:sz="4" w:space="0"/>
              <w:right w:val="single" w:color="000000" w:sz="4" w:space="0"/>
            </w:tcBorders>
            <w:noWrap w:val="0"/>
            <w:vAlign w:val="center"/>
          </w:tcPr>
          <w:p w14:paraId="4E25B6AA">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690</w:t>
            </w:r>
          </w:p>
        </w:tc>
        <w:tc>
          <w:tcPr>
            <w:tcW w:w="522" w:type="dxa"/>
            <w:tcBorders>
              <w:top w:val="single" w:color="000000" w:sz="4" w:space="0"/>
              <w:left w:val="single" w:color="000000" w:sz="4" w:space="0"/>
              <w:bottom w:val="single" w:color="000000" w:sz="4" w:space="0"/>
              <w:right w:val="single" w:color="000000" w:sz="4" w:space="0"/>
            </w:tcBorders>
            <w:noWrap w:val="0"/>
            <w:vAlign w:val="center"/>
          </w:tcPr>
          <w:p w14:paraId="09536817">
            <w:pPr>
              <w:keepNext w:val="0"/>
              <w:keepLines w:val="0"/>
              <w:widowControl/>
              <w:suppressLineNumbers w:val="0"/>
              <w:snapToGrid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30</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46AD477">
            <w:pPr>
              <w:snapToGrid w:val="0"/>
              <w:jc w:val="center"/>
              <w:rPr>
                <w:rFonts w:hint="eastAsia" w:ascii="宋体" w:hAnsi="宋体" w:eastAsia="宋体" w:cs="宋体"/>
                <w:b/>
                <w:bCs/>
                <w:i w:val="0"/>
                <w:iCs w:val="0"/>
                <w:color w:val="auto"/>
                <w:sz w:val="28"/>
                <w:szCs w:val="28"/>
                <w:highlight w:val="none"/>
                <w:u w:val="none"/>
              </w:rPr>
            </w:pPr>
          </w:p>
        </w:tc>
        <w:tc>
          <w:tcPr>
            <w:tcW w:w="436" w:type="dxa"/>
            <w:tcBorders>
              <w:top w:val="single" w:color="000000" w:sz="4" w:space="0"/>
              <w:left w:val="single" w:color="000000" w:sz="4" w:space="0"/>
              <w:bottom w:val="single" w:color="000000" w:sz="4" w:space="0"/>
              <w:right w:val="single" w:color="000000" w:sz="4" w:space="0"/>
            </w:tcBorders>
            <w:noWrap w:val="0"/>
            <w:vAlign w:val="center"/>
          </w:tcPr>
          <w:p w14:paraId="086A742E">
            <w:pPr>
              <w:snapToGrid w:val="0"/>
              <w:jc w:val="center"/>
              <w:rPr>
                <w:rFonts w:hint="eastAsia" w:ascii="宋体" w:hAnsi="宋体" w:eastAsia="宋体" w:cs="宋体"/>
                <w:b/>
                <w:bCs/>
                <w:i w:val="0"/>
                <w:iCs w:val="0"/>
                <w:color w:val="auto"/>
                <w:sz w:val="28"/>
                <w:szCs w:val="28"/>
                <w:highlight w:val="none"/>
                <w:u w:val="none"/>
              </w:rPr>
            </w:pPr>
          </w:p>
        </w:tc>
        <w:tc>
          <w:tcPr>
            <w:tcW w:w="617" w:type="dxa"/>
            <w:tcBorders>
              <w:top w:val="single" w:color="000000" w:sz="4" w:space="0"/>
              <w:left w:val="single" w:color="000000" w:sz="4" w:space="0"/>
              <w:bottom w:val="single" w:color="000000" w:sz="4" w:space="0"/>
              <w:right w:val="single" w:color="000000" w:sz="4" w:space="0"/>
            </w:tcBorders>
            <w:noWrap w:val="0"/>
            <w:vAlign w:val="center"/>
          </w:tcPr>
          <w:p w14:paraId="46C3B198">
            <w:pPr>
              <w:snapToGrid w:val="0"/>
              <w:jc w:val="center"/>
              <w:rPr>
                <w:rFonts w:hint="eastAsia" w:ascii="宋体" w:hAnsi="宋体" w:eastAsia="宋体" w:cs="宋体"/>
                <w:b/>
                <w:bCs/>
                <w:i w:val="0"/>
                <w:iCs w:val="0"/>
                <w:color w:val="auto"/>
                <w:sz w:val="28"/>
                <w:szCs w:val="28"/>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174AE90">
            <w:pPr>
              <w:snapToGrid w:val="0"/>
              <w:jc w:val="center"/>
              <w:rPr>
                <w:rFonts w:hint="eastAsia" w:ascii="宋体" w:hAnsi="宋体" w:eastAsia="宋体" w:cs="宋体"/>
                <w:b/>
                <w:bCs/>
                <w:i w:val="0"/>
                <w:iCs w:val="0"/>
                <w:color w:val="auto"/>
                <w:sz w:val="28"/>
                <w:szCs w:val="28"/>
                <w:highlight w:val="none"/>
                <w:u w:val="none"/>
              </w:rPr>
            </w:pPr>
          </w:p>
        </w:tc>
      </w:tr>
      <w:tr w14:paraId="5029B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962" w:type="dxa"/>
            <w:gridSpan w:val="12"/>
            <w:tcBorders>
              <w:top w:val="nil"/>
              <w:left w:val="nil"/>
              <w:bottom w:val="nil"/>
              <w:right w:val="nil"/>
            </w:tcBorders>
            <w:noWrap w:val="0"/>
            <w:vAlign w:val="center"/>
          </w:tcPr>
          <w:p w14:paraId="6555A7B1">
            <w:pPr>
              <w:keepNext w:val="0"/>
              <w:keepLines w:val="0"/>
              <w:widowControl/>
              <w:suppressLineNumbers w:val="0"/>
              <w:snapToGrid w:val="0"/>
              <w:spacing w:line="360" w:lineRule="auto"/>
              <w:jc w:val="left"/>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备注：2021年以后的不在改造范围，房间数5371间.更换10217块。320间热水器线路改造并入空调计费系统。需更换电表柜427个，（照明电表柜176个，空调电表柜251个）。</w:t>
            </w:r>
          </w:p>
        </w:tc>
      </w:tr>
    </w:tbl>
    <w:p w14:paraId="2278AC0A">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val="0"/>
          <w:bCs w:val="0"/>
          <w:color w:val="auto"/>
          <w:sz w:val="24"/>
          <w:szCs w:val="18"/>
          <w:highlight w:val="none"/>
          <w:lang w:val="en-US" w:eastAsia="zh-CN"/>
        </w:rPr>
      </w:pPr>
      <w:r>
        <w:rPr>
          <w:rFonts w:hint="eastAsia" w:ascii="宋体" w:hAnsi="宋体" w:eastAsia="宋体" w:cs="宋体"/>
          <w:b w:val="0"/>
          <w:bCs w:val="0"/>
          <w:color w:val="auto"/>
          <w:sz w:val="24"/>
          <w:szCs w:val="18"/>
          <w:highlight w:val="none"/>
          <w:lang w:val="en-US" w:eastAsia="zh-CN"/>
        </w:rPr>
        <w:br w:type="page"/>
      </w:r>
    </w:p>
    <w:p w14:paraId="545F7A9C">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lang w:val="en-US" w:eastAsia="zh-CN"/>
        </w:rPr>
        <w:t>十、</w:t>
      </w:r>
      <w:r>
        <w:rPr>
          <w:rFonts w:hint="eastAsia" w:ascii="宋体" w:hAnsi="宋体" w:eastAsia="宋体" w:cs="宋体"/>
          <w:b/>
          <w:bCs/>
          <w:color w:val="auto"/>
          <w:sz w:val="24"/>
          <w:szCs w:val="18"/>
          <w:highlight w:val="none"/>
        </w:rPr>
        <w:t>报价要求</w:t>
      </w:r>
      <w:bookmarkEnd w:id="4"/>
      <w:bookmarkEnd w:id="5"/>
    </w:p>
    <w:p w14:paraId="051BAE28">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bCs/>
          <w:color w:val="auto"/>
          <w:sz w:val="24"/>
          <w:szCs w:val="18"/>
          <w:highlight w:val="none"/>
        </w:rPr>
      </w:pPr>
      <w:r>
        <w:rPr>
          <w:rFonts w:hint="eastAsia" w:ascii="宋体" w:hAnsi="宋体" w:eastAsia="宋体" w:cs="宋体"/>
          <w:bCs/>
          <w:color w:val="auto"/>
          <w:sz w:val="24"/>
          <w:szCs w:val="18"/>
          <w:highlight w:val="none"/>
        </w:rPr>
        <w:t>本项目报总价，投标报价包括本项目需求的全部货物及所需附件购置费、</w:t>
      </w:r>
      <w:r>
        <w:rPr>
          <w:rFonts w:hint="eastAsia" w:ascii="宋体" w:hAnsi="宋体" w:eastAsia="宋体" w:cs="宋体"/>
          <w:bCs/>
          <w:color w:val="auto"/>
          <w:sz w:val="24"/>
          <w:szCs w:val="18"/>
          <w:highlight w:val="none"/>
          <w:lang w:val="en-US" w:eastAsia="zh-CN"/>
        </w:rPr>
        <w:t>电表柜改造费、辅材及实施费、</w:t>
      </w:r>
      <w:r>
        <w:rPr>
          <w:rFonts w:hint="eastAsia" w:ascii="宋体" w:hAnsi="宋体" w:eastAsia="宋体" w:cs="宋体"/>
          <w:bCs/>
          <w:color w:val="auto"/>
          <w:sz w:val="24"/>
          <w:szCs w:val="18"/>
          <w:highlight w:val="none"/>
        </w:rPr>
        <w:t>包装费、运输费、人工费、保险费</w:t>
      </w:r>
      <w:r>
        <w:rPr>
          <w:rFonts w:hint="eastAsia" w:ascii="宋体" w:hAnsi="宋体" w:eastAsia="宋体" w:cs="宋体"/>
          <w:bCs/>
          <w:color w:val="auto"/>
          <w:sz w:val="24"/>
          <w:szCs w:val="18"/>
          <w:highlight w:val="none"/>
          <w:lang w:eastAsia="zh-CN"/>
        </w:rPr>
        <w:t>（</w:t>
      </w:r>
      <w:r>
        <w:rPr>
          <w:rFonts w:hint="eastAsia" w:ascii="宋体" w:hAnsi="宋体" w:eastAsia="宋体" w:cs="宋体"/>
          <w:bCs/>
          <w:color w:val="auto"/>
          <w:sz w:val="24"/>
          <w:szCs w:val="18"/>
          <w:highlight w:val="none"/>
          <w:lang w:val="en-US" w:eastAsia="zh-CN"/>
        </w:rPr>
        <w:t>如有</w:t>
      </w:r>
      <w:r>
        <w:rPr>
          <w:rFonts w:hint="eastAsia" w:ascii="宋体" w:hAnsi="宋体" w:eastAsia="宋体" w:cs="宋体"/>
          <w:bCs/>
          <w:color w:val="auto"/>
          <w:sz w:val="24"/>
          <w:szCs w:val="18"/>
          <w:highlight w:val="none"/>
          <w:lang w:eastAsia="zh-CN"/>
        </w:rPr>
        <w:t>）</w:t>
      </w:r>
      <w:r>
        <w:rPr>
          <w:rFonts w:hint="eastAsia" w:ascii="宋体" w:hAnsi="宋体" w:eastAsia="宋体" w:cs="宋体"/>
          <w:bCs/>
          <w:color w:val="auto"/>
          <w:sz w:val="24"/>
          <w:szCs w:val="18"/>
          <w:highlight w:val="none"/>
        </w:rPr>
        <w:t>、安装调试费、</w:t>
      </w:r>
      <w:r>
        <w:rPr>
          <w:rFonts w:hint="eastAsia" w:ascii="宋体" w:hAnsi="宋体" w:eastAsia="宋体" w:cs="宋体"/>
          <w:b w:val="0"/>
          <w:bCs w:val="0"/>
          <w:color w:val="auto"/>
          <w:sz w:val="24"/>
          <w:szCs w:val="24"/>
          <w:highlight w:val="none"/>
          <w:lang w:val="en-US" w:eastAsia="zh-CN"/>
        </w:rPr>
        <w:t>售后质保费、</w:t>
      </w:r>
      <w:r>
        <w:rPr>
          <w:rFonts w:hint="eastAsia" w:ascii="宋体" w:hAnsi="宋体" w:eastAsia="宋体" w:cs="宋体"/>
          <w:bCs/>
          <w:color w:val="auto"/>
          <w:sz w:val="24"/>
          <w:szCs w:val="18"/>
          <w:highlight w:val="none"/>
        </w:rPr>
        <w:t>各种税费、资料费、售后服务费及完成项目应有的全部费用。</w:t>
      </w:r>
    </w:p>
    <w:p w14:paraId="2A998185">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bCs/>
          <w:color w:val="auto"/>
          <w:sz w:val="24"/>
          <w:szCs w:val="18"/>
          <w:highlight w:val="none"/>
          <w:lang w:val="en-US" w:eastAsia="zh-CN"/>
        </w:rPr>
      </w:pPr>
      <w:r>
        <w:rPr>
          <w:rFonts w:hint="eastAsia" w:ascii="宋体" w:hAnsi="宋体" w:eastAsia="宋体" w:cs="宋体"/>
          <w:bCs/>
          <w:color w:val="auto"/>
          <w:sz w:val="24"/>
          <w:szCs w:val="18"/>
          <w:highlight w:val="none"/>
          <w:lang w:val="en-US" w:eastAsia="zh-CN"/>
        </w:rPr>
        <w:t>电表柜改造费：包含与电表柜改造安装所发生的所有费用。</w:t>
      </w:r>
    </w:p>
    <w:p w14:paraId="7CBF503F">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bCs/>
          <w:color w:val="auto"/>
          <w:sz w:val="24"/>
          <w:szCs w:val="18"/>
          <w:highlight w:val="none"/>
        </w:rPr>
      </w:pPr>
      <w:r>
        <w:rPr>
          <w:rFonts w:hint="eastAsia" w:ascii="宋体" w:hAnsi="宋体" w:eastAsia="宋体" w:cs="宋体"/>
          <w:bCs/>
          <w:color w:val="auto"/>
          <w:sz w:val="24"/>
          <w:szCs w:val="18"/>
          <w:highlight w:val="none"/>
          <w:lang w:val="en-US" w:eastAsia="zh-CN"/>
        </w:rPr>
        <w:t>辅材及实施费：</w:t>
      </w:r>
      <w:r>
        <w:rPr>
          <w:rFonts w:hint="eastAsia" w:ascii="宋体" w:hAnsi="宋体" w:eastAsia="宋体"/>
          <w:bCs/>
          <w:color w:val="auto"/>
          <w:sz w:val="24"/>
          <w:szCs w:val="18"/>
          <w:highlight w:val="none"/>
        </w:rPr>
        <w:t>包含改造过程中涉及到的所有施工调试、系统对接、部分柜体更换、线路改造、旧设备拆除及新设备安装等一切费用。</w:t>
      </w:r>
    </w:p>
    <w:p w14:paraId="7C9ED87E">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default" w:ascii="宋体" w:hAnsi="宋体" w:eastAsia="宋体"/>
          <w:bCs/>
          <w:color w:val="auto"/>
          <w:sz w:val="24"/>
          <w:szCs w:val="18"/>
          <w:highlight w:val="none"/>
          <w:lang w:val="en-US" w:eastAsia="zh-CN"/>
        </w:rPr>
      </w:pPr>
      <w:r>
        <w:rPr>
          <w:rFonts w:hint="eastAsia" w:ascii="宋体" w:hAnsi="宋体" w:eastAsia="宋体" w:cs="宋体"/>
          <w:b w:val="0"/>
          <w:bCs w:val="0"/>
          <w:color w:val="auto"/>
          <w:sz w:val="24"/>
          <w:szCs w:val="24"/>
          <w:highlight w:val="none"/>
          <w:lang w:val="en-US" w:eastAsia="zh-CN"/>
        </w:rPr>
        <w:t>售后质保费：包含满足本章“6、售后质保”所有条款所发生的一切费用。</w:t>
      </w:r>
    </w:p>
    <w:p w14:paraId="2F2E2F44">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18"/>
          <w:highlight w:val="none"/>
          <w:lang w:val="en-US" w:eastAsia="zh-CN"/>
        </w:rPr>
      </w:pPr>
      <w:r>
        <w:rPr>
          <w:rFonts w:hint="eastAsia" w:ascii="宋体" w:hAnsi="宋体" w:eastAsia="宋体" w:cs="宋体"/>
          <w:b/>
          <w:bCs/>
          <w:color w:val="auto"/>
          <w:sz w:val="24"/>
          <w:szCs w:val="18"/>
          <w:highlight w:val="none"/>
          <w:lang w:val="en-US" w:eastAsia="zh-CN"/>
        </w:rPr>
        <w:t>十一、包装和运输</w:t>
      </w:r>
    </w:p>
    <w:p w14:paraId="4D2966A8">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bCs/>
          <w:color w:val="auto"/>
          <w:sz w:val="24"/>
          <w:szCs w:val="18"/>
          <w:highlight w:val="none"/>
          <w:lang w:val="en-US" w:eastAsia="zh-CN"/>
        </w:rPr>
      </w:pPr>
      <w:r>
        <w:rPr>
          <w:rFonts w:hint="eastAsia" w:ascii="宋体" w:hAnsi="宋体" w:eastAsia="宋体" w:cs="宋体"/>
          <w:bCs/>
          <w:color w:val="auto"/>
          <w:sz w:val="24"/>
          <w:szCs w:val="18"/>
          <w:highlight w:val="none"/>
        </w:rPr>
        <w:t>采用本行业通用的方式进行包装，确保货物安全无损地运抵现场。由于</w:t>
      </w:r>
      <w:r>
        <w:rPr>
          <w:rFonts w:hint="eastAsia" w:ascii="宋体" w:hAnsi="宋体" w:eastAsia="宋体" w:cs="宋体"/>
          <w:bCs/>
          <w:color w:val="auto"/>
          <w:sz w:val="24"/>
          <w:szCs w:val="18"/>
          <w:highlight w:val="none"/>
          <w:lang w:val="en-US" w:eastAsia="zh-CN"/>
        </w:rPr>
        <w:t>包装</w:t>
      </w:r>
      <w:r>
        <w:rPr>
          <w:rFonts w:hint="eastAsia" w:ascii="宋体" w:hAnsi="宋体" w:eastAsia="宋体" w:cs="宋体"/>
          <w:bCs/>
          <w:color w:val="auto"/>
          <w:sz w:val="24"/>
          <w:szCs w:val="18"/>
          <w:highlight w:val="none"/>
        </w:rPr>
        <w:t>不善所引起的货物锈蚀、损坏和损失等一切风险均由</w:t>
      </w:r>
      <w:r>
        <w:rPr>
          <w:rFonts w:hint="eastAsia" w:ascii="宋体" w:hAnsi="宋体" w:eastAsia="宋体" w:cs="宋体"/>
          <w:bCs/>
          <w:color w:val="auto"/>
          <w:sz w:val="24"/>
          <w:szCs w:val="18"/>
          <w:highlight w:val="none"/>
          <w:lang w:val="en-US" w:eastAsia="zh-CN"/>
        </w:rPr>
        <w:t>投标人</w:t>
      </w:r>
      <w:r>
        <w:rPr>
          <w:rFonts w:hint="eastAsia" w:ascii="宋体" w:hAnsi="宋体" w:eastAsia="宋体" w:cs="宋体"/>
          <w:bCs/>
          <w:color w:val="auto"/>
          <w:sz w:val="24"/>
          <w:szCs w:val="18"/>
          <w:highlight w:val="none"/>
        </w:rPr>
        <w:t>承担。</w:t>
      </w:r>
    </w:p>
    <w:p w14:paraId="011BF9D1">
      <w:pPr>
        <w:keepNext w:val="0"/>
        <w:keepLines w:val="0"/>
        <w:pageBreakBefore w:val="0"/>
        <w:widowControl w:val="0"/>
        <w:kinsoku/>
        <w:wordWrap/>
        <w:overflowPunct/>
        <w:topLinePunct w:val="0"/>
        <w:autoSpaceDE/>
        <w:autoSpaceDN/>
        <w:bidi w:val="0"/>
        <w:adjustRightInd/>
        <w:snapToGrid/>
        <w:spacing w:line="360" w:lineRule="auto"/>
        <w:ind w:firstLine="437"/>
        <w:textAlignment w:val="auto"/>
        <w:outlineLvl w:val="1"/>
        <w:rPr>
          <w:rFonts w:hint="eastAsia" w:ascii="宋体" w:hAnsi="宋体" w:eastAsia="宋体" w:cs="宋体"/>
          <w:b/>
          <w:bCs/>
          <w:color w:val="auto"/>
          <w:sz w:val="24"/>
          <w:szCs w:val="18"/>
          <w:highlight w:val="none"/>
          <w:lang w:val="en-US" w:eastAsia="zh-CN"/>
        </w:rPr>
      </w:pPr>
      <w:r>
        <w:rPr>
          <w:rFonts w:hint="eastAsia" w:ascii="宋体" w:hAnsi="宋体" w:eastAsia="宋体" w:cs="宋体"/>
          <w:b/>
          <w:bCs/>
          <w:color w:val="auto"/>
          <w:sz w:val="24"/>
          <w:szCs w:val="18"/>
          <w:highlight w:val="none"/>
          <w:lang w:val="en-US" w:eastAsia="zh-CN"/>
        </w:rPr>
        <w:t>十二、培训要求</w:t>
      </w:r>
    </w:p>
    <w:p w14:paraId="4D7A8D14">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bCs/>
          <w:color w:val="auto"/>
          <w:sz w:val="24"/>
          <w:szCs w:val="18"/>
          <w:highlight w:val="none"/>
          <w:lang w:val="en-US" w:eastAsia="zh-CN"/>
        </w:rPr>
      </w:pPr>
      <w:r>
        <w:rPr>
          <w:rFonts w:hint="eastAsia" w:ascii="宋体" w:hAnsi="宋体" w:eastAsia="宋体" w:cs="宋体"/>
          <w:bCs/>
          <w:color w:val="auto"/>
          <w:sz w:val="24"/>
          <w:szCs w:val="18"/>
          <w:highlight w:val="none"/>
          <w:lang w:val="en-US" w:eastAsia="zh-CN"/>
        </w:rPr>
        <w:t>为学校后勤管理、操作人员提供系统操作、日常维护、故障处理等专业培训，确保操作人员熟练掌握使用方法。</w:t>
      </w:r>
    </w:p>
    <w:p w14:paraId="2D1C3A0F">
      <w:pPr>
        <w:pStyle w:val="16"/>
        <w:rPr>
          <w:rFonts w:ascii="宋体" w:hAnsi="宋体" w:eastAsia="宋体"/>
          <w:color w:val="auto"/>
          <w:sz w:val="24"/>
          <w:highlight w:val="none"/>
        </w:rPr>
      </w:pPr>
    </w:p>
    <w:p w14:paraId="0F0BD3B6">
      <w:pPr>
        <w:pStyle w:val="16"/>
        <w:rPr>
          <w:rFonts w:hint="eastAsia" w:ascii="Times New Roman" w:hAnsi="Times New Roman" w:eastAsia="宋体" w:cs="Times New Roman"/>
          <w:bCs/>
          <w:color w:val="auto"/>
          <w:sz w:val="32"/>
          <w:szCs w:val="32"/>
          <w:highlight w:val="none"/>
          <w:lang w:val="en-US" w:eastAsia="zh-CN"/>
        </w:rPr>
      </w:pPr>
      <w:r>
        <w:rPr>
          <w:rFonts w:ascii="宋体" w:hAnsi="宋体" w:eastAsia="宋体"/>
          <w:color w:val="auto"/>
          <w:sz w:val="24"/>
          <w:highlight w:val="none"/>
        </w:rPr>
        <w:br w:type="page"/>
      </w:r>
    </w:p>
    <w:p w14:paraId="23DA47F8">
      <w:pPr>
        <w:keepNext/>
        <w:keepLines/>
        <w:spacing w:before="260" w:after="260" w:line="416" w:lineRule="auto"/>
        <w:outlineLvl w:val="2"/>
        <w:rPr>
          <w:rFonts w:hint="eastAsia" w:ascii="Times New Roman" w:hAnsi="Times New Roman" w:eastAsia="宋体" w:cs="Times New Roman"/>
          <w:bCs/>
          <w:color w:val="auto"/>
          <w:sz w:val="32"/>
          <w:szCs w:val="32"/>
          <w:highlight w:val="none"/>
        </w:rPr>
      </w:pPr>
      <w:r>
        <w:rPr>
          <w:rFonts w:hint="eastAsia" w:ascii="Times New Roman" w:hAnsi="Times New Roman" w:eastAsia="宋体" w:cs="Times New Roman"/>
          <w:bCs/>
          <w:color w:val="auto"/>
          <w:sz w:val="32"/>
          <w:szCs w:val="32"/>
          <w:highlight w:val="none"/>
          <w:lang w:val="en-US" w:eastAsia="zh-CN"/>
        </w:rPr>
        <w:t>第三部分</w:t>
      </w:r>
      <w:r>
        <w:rPr>
          <w:rFonts w:hint="eastAsia" w:ascii="Times New Roman" w:hAnsi="Times New Roman" w:eastAsia="宋体" w:cs="Times New Roman"/>
          <w:bCs/>
          <w:color w:val="auto"/>
          <w:sz w:val="32"/>
          <w:szCs w:val="32"/>
          <w:highlight w:val="none"/>
        </w:rPr>
        <w:t>、综合评分表（综合评分项目适用）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5"/>
        <w:gridCol w:w="1720"/>
        <w:gridCol w:w="3745"/>
        <w:gridCol w:w="1582"/>
      </w:tblGrid>
      <w:tr w14:paraId="1DB0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65" w:type="pct"/>
            <w:tcBorders>
              <w:top w:val="single" w:color="auto" w:sz="4" w:space="0"/>
              <w:left w:val="single" w:color="auto" w:sz="4" w:space="0"/>
              <w:bottom w:val="single" w:color="auto" w:sz="4" w:space="0"/>
              <w:right w:val="single" w:color="auto" w:sz="4" w:space="0"/>
            </w:tcBorders>
            <w:noWrap w:val="0"/>
            <w:vAlign w:val="center"/>
          </w:tcPr>
          <w:p w14:paraId="11D4FD26">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类别</w:t>
            </w:r>
          </w:p>
        </w:tc>
        <w:tc>
          <w:tcPr>
            <w:tcW w:w="1009" w:type="pct"/>
            <w:tcBorders>
              <w:top w:val="single" w:color="auto" w:sz="4" w:space="0"/>
              <w:left w:val="single" w:color="auto" w:sz="4" w:space="0"/>
              <w:bottom w:val="single" w:color="auto" w:sz="4" w:space="0"/>
              <w:right w:val="single" w:color="auto" w:sz="4" w:space="0"/>
            </w:tcBorders>
            <w:noWrap w:val="0"/>
            <w:vAlign w:val="center"/>
          </w:tcPr>
          <w:p w14:paraId="243E8999">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评分内容</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5946EC5F">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评分标准</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31CDC802">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分值范围</w:t>
            </w:r>
          </w:p>
        </w:tc>
      </w:tr>
      <w:tr w14:paraId="324D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restart"/>
            <w:tcBorders>
              <w:top w:val="single" w:color="auto" w:sz="4" w:space="0"/>
              <w:left w:val="single" w:color="auto" w:sz="4" w:space="0"/>
              <w:right w:val="single" w:color="auto" w:sz="4" w:space="0"/>
            </w:tcBorders>
            <w:noWrap w:val="0"/>
            <w:vAlign w:val="center"/>
          </w:tcPr>
          <w:p w14:paraId="6A6E08A4">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技术资信分</w:t>
            </w:r>
          </w:p>
          <w:p w14:paraId="717DFE3F">
            <w:pPr>
              <w:spacing w:line="360" w:lineRule="auto"/>
              <w:jc w:val="center"/>
              <w:rPr>
                <w:rFonts w:ascii="宋体" w:hAnsi="宋体" w:eastAsia="宋体"/>
                <w:b/>
                <w:bCs/>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70</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分）</w:t>
            </w:r>
          </w:p>
        </w:tc>
        <w:tc>
          <w:tcPr>
            <w:tcW w:w="1009" w:type="pct"/>
            <w:tcBorders>
              <w:top w:val="single" w:color="auto" w:sz="4" w:space="0"/>
              <w:left w:val="single" w:color="auto" w:sz="4" w:space="0"/>
              <w:bottom w:val="single" w:color="auto" w:sz="4" w:space="0"/>
              <w:right w:val="single" w:color="auto" w:sz="4" w:space="0"/>
            </w:tcBorders>
            <w:noWrap w:val="0"/>
            <w:vAlign w:val="center"/>
          </w:tcPr>
          <w:p w14:paraId="0D466659">
            <w:pPr>
              <w:spacing w:line="360" w:lineRule="auto"/>
              <w:jc w:val="center"/>
              <w:rPr>
                <w:rFonts w:ascii="宋体" w:hAnsi="宋体" w:eastAsia="宋体"/>
                <w:color w:val="auto"/>
                <w:sz w:val="24"/>
                <w:highlight w:val="none"/>
              </w:rPr>
            </w:pPr>
          </w:p>
          <w:p w14:paraId="2B8CAC0C">
            <w:pPr>
              <w:spacing w:line="360" w:lineRule="auto"/>
              <w:jc w:val="center"/>
              <w:rPr>
                <w:rFonts w:ascii="宋体" w:hAnsi="宋体" w:eastAsia="宋体"/>
                <w:bCs/>
                <w:color w:val="auto"/>
                <w:sz w:val="24"/>
                <w:highlight w:val="none"/>
              </w:rPr>
            </w:pPr>
            <w:r>
              <w:rPr>
                <w:rFonts w:hint="eastAsia" w:ascii="宋体" w:hAnsi="宋体" w:eastAsia="宋体"/>
                <w:color w:val="auto"/>
                <w:sz w:val="24"/>
                <w:highlight w:val="none"/>
              </w:rPr>
              <w:t>技术要求</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5969785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1、标注“★”项为重要指标项，每满足一项得</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分，共</w:t>
            </w:r>
            <w:r>
              <w:rPr>
                <w:rFonts w:hint="eastAsia" w:ascii="宋体" w:hAnsi="宋体" w:eastAsia="宋体"/>
                <w:color w:val="auto"/>
                <w:sz w:val="24"/>
                <w:highlight w:val="none"/>
                <w:lang w:val="en-US" w:eastAsia="zh-CN"/>
              </w:rPr>
              <w:t>10</w:t>
            </w:r>
            <w:r>
              <w:rPr>
                <w:rFonts w:hint="eastAsia" w:ascii="宋体" w:hAnsi="宋体" w:eastAsia="宋体"/>
                <w:color w:val="auto"/>
                <w:sz w:val="24"/>
                <w:highlight w:val="none"/>
              </w:rPr>
              <w:t>项，共计</w:t>
            </w:r>
            <w:r>
              <w:rPr>
                <w:rFonts w:ascii="宋体" w:hAnsi="宋体" w:eastAsia="宋体"/>
                <w:color w:val="auto"/>
                <w:sz w:val="24"/>
                <w:highlight w:val="none"/>
              </w:rPr>
              <w:t>30</w:t>
            </w:r>
            <w:r>
              <w:rPr>
                <w:rFonts w:hint="eastAsia" w:ascii="宋体" w:hAnsi="宋体" w:eastAsia="宋体"/>
                <w:color w:val="auto"/>
                <w:sz w:val="24"/>
                <w:highlight w:val="none"/>
              </w:rPr>
              <w:t>分。</w:t>
            </w:r>
          </w:p>
          <w:p w14:paraId="17FC7E7F">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lang w:val="en-US" w:eastAsia="zh-CN"/>
              </w:rPr>
              <w:t>2</w:t>
            </w:r>
            <w:r>
              <w:rPr>
                <w:rFonts w:ascii="宋体" w:hAnsi="宋体" w:eastAsia="宋体"/>
                <w:color w:val="auto"/>
                <w:sz w:val="24"/>
                <w:highlight w:val="none"/>
              </w:rPr>
              <w:t>、</w:t>
            </w:r>
            <w:r>
              <w:rPr>
                <w:rFonts w:ascii="宋体" w:hAnsi="宋体" w:eastAsia="宋体"/>
                <w:b/>
                <w:bCs/>
                <w:color w:val="auto"/>
                <w:sz w:val="24"/>
                <w:highlight w:val="none"/>
              </w:rPr>
              <w:t>其余</w:t>
            </w:r>
            <w:r>
              <w:rPr>
                <w:rFonts w:hint="eastAsia" w:ascii="宋体" w:hAnsi="宋体" w:eastAsia="宋体"/>
                <w:b/>
                <w:bCs/>
                <w:color w:val="auto"/>
                <w:sz w:val="24"/>
                <w:highlight w:val="none"/>
              </w:rPr>
              <w:t>无标识项</w:t>
            </w:r>
            <w:r>
              <w:rPr>
                <w:rFonts w:ascii="宋体" w:hAnsi="宋体" w:eastAsia="宋体"/>
                <w:b/>
                <w:bCs/>
                <w:color w:val="auto"/>
                <w:sz w:val="24"/>
                <w:highlight w:val="none"/>
              </w:rPr>
              <w:t>，</w:t>
            </w:r>
            <w:r>
              <w:rPr>
                <w:rFonts w:hint="eastAsia" w:ascii="宋体" w:hAnsi="宋体" w:eastAsia="宋体"/>
                <w:b/>
                <w:bCs/>
                <w:color w:val="auto"/>
                <w:sz w:val="24"/>
                <w:highlight w:val="none"/>
                <w:lang w:val="en-US" w:eastAsia="zh-CN"/>
              </w:rPr>
              <w:t>5</w:t>
            </w:r>
            <w:r>
              <w:rPr>
                <w:rFonts w:hint="eastAsia" w:ascii="宋体" w:hAnsi="宋体" w:eastAsia="宋体"/>
                <w:b/>
                <w:bCs/>
                <w:color w:val="auto"/>
                <w:sz w:val="24"/>
                <w:highlight w:val="none"/>
              </w:rPr>
              <w:t>项及以上不满足，投标无效。</w:t>
            </w:r>
          </w:p>
          <w:p w14:paraId="0C611332">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注：</w:t>
            </w:r>
          </w:p>
          <w:p w14:paraId="0B4B72E5">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（1）如某项标识中包含多条技术参数或要求，则该项标识所含内容均</w:t>
            </w:r>
            <w:r>
              <w:rPr>
                <w:rFonts w:hint="eastAsia" w:ascii="宋体" w:hAnsi="宋体" w:eastAsia="宋体"/>
                <w:color w:val="auto"/>
                <w:sz w:val="24"/>
                <w:highlight w:val="none"/>
                <w:lang w:eastAsia="zh-CN"/>
              </w:rPr>
              <w:t>须</w:t>
            </w:r>
            <w:r>
              <w:rPr>
                <w:rFonts w:hint="eastAsia" w:ascii="宋体" w:hAnsi="宋体" w:eastAsia="宋体"/>
                <w:color w:val="auto"/>
                <w:sz w:val="24"/>
                <w:highlight w:val="none"/>
              </w:rPr>
              <w:t>满足或优于招标文件要求，否则不予认可。</w:t>
            </w:r>
          </w:p>
          <w:p w14:paraId="510573C3">
            <w:pPr>
              <w:spacing w:line="360" w:lineRule="auto"/>
              <w:jc w:val="left"/>
              <w:rPr>
                <w:rFonts w:ascii="宋体" w:hAnsi="宋体" w:eastAsia="宋体"/>
                <w:bCs/>
                <w:color w:val="auto"/>
                <w:sz w:val="24"/>
                <w:highlight w:val="none"/>
              </w:rPr>
            </w:pPr>
            <w:r>
              <w:rPr>
                <w:rFonts w:hint="eastAsia" w:ascii="宋体" w:hAnsi="宋体" w:eastAsia="宋体"/>
                <w:color w:val="auto"/>
                <w:sz w:val="24"/>
                <w:highlight w:val="none"/>
              </w:rPr>
              <w:t>（2）以投标响应表和采购需求中要求提供的证明材料作为评审依据。</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2149BBBB">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w:t>
            </w:r>
            <w:r>
              <w:rPr>
                <w:rFonts w:ascii="宋体" w:hAnsi="宋体" w:eastAsia="宋体"/>
                <w:b/>
                <w:bCs/>
                <w:color w:val="auto"/>
                <w:sz w:val="24"/>
                <w:highlight w:val="none"/>
              </w:rPr>
              <w:t>30</w:t>
            </w:r>
            <w:r>
              <w:rPr>
                <w:rFonts w:hint="eastAsia" w:ascii="宋体" w:hAnsi="宋体" w:eastAsia="宋体"/>
                <w:b/>
                <w:bCs/>
                <w:color w:val="auto"/>
                <w:sz w:val="24"/>
                <w:highlight w:val="none"/>
              </w:rPr>
              <w:t>分</w:t>
            </w:r>
          </w:p>
        </w:tc>
      </w:tr>
      <w:tr w14:paraId="3671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11C418BA">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09FF0566">
            <w:pPr>
              <w:spacing w:line="360" w:lineRule="auto"/>
              <w:jc w:val="center"/>
              <w:rPr>
                <w:rFonts w:ascii="宋体" w:hAnsi="宋体" w:eastAsia="宋体"/>
                <w:color w:val="auto"/>
                <w:sz w:val="24"/>
                <w:highlight w:val="none"/>
              </w:rPr>
            </w:pPr>
          </w:p>
          <w:p w14:paraId="321F0E80">
            <w:pPr>
              <w:spacing w:line="360" w:lineRule="auto"/>
              <w:jc w:val="center"/>
              <w:rPr>
                <w:rFonts w:ascii="宋体" w:hAnsi="宋体" w:eastAsia="宋体"/>
                <w:color w:val="auto"/>
                <w:sz w:val="24"/>
                <w:highlight w:val="none"/>
              </w:rPr>
            </w:pPr>
          </w:p>
          <w:p w14:paraId="11E4F868">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投标人业绩</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4104EBFC">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自2023年1月1日以来（以合同签订时间为准），投标人每具有一项</w:t>
            </w:r>
            <w:r>
              <w:rPr>
                <w:rFonts w:hint="eastAsia" w:ascii="宋体" w:hAnsi="宋体" w:eastAsia="宋体"/>
                <w:color w:val="auto"/>
                <w:sz w:val="24"/>
                <w:highlight w:val="none"/>
                <w:lang w:val="en-US" w:eastAsia="zh-CN"/>
              </w:rPr>
              <w:t>同类</w:t>
            </w:r>
            <w:r>
              <w:rPr>
                <w:rFonts w:hint="eastAsia" w:ascii="宋体" w:hAnsi="宋体" w:eastAsia="宋体"/>
                <w:color w:val="auto"/>
                <w:sz w:val="24"/>
                <w:highlight w:val="none"/>
              </w:rPr>
              <w:t>供货业绩，得</w:t>
            </w:r>
            <w:r>
              <w:rPr>
                <w:rFonts w:ascii="宋体" w:hAnsi="宋体" w:eastAsia="宋体"/>
                <w:color w:val="auto"/>
                <w:sz w:val="24"/>
                <w:highlight w:val="none"/>
              </w:rPr>
              <w:t>3</w:t>
            </w:r>
            <w:r>
              <w:rPr>
                <w:rFonts w:hint="eastAsia" w:ascii="宋体" w:hAnsi="宋体" w:eastAsia="宋体"/>
                <w:color w:val="auto"/>
                <w:sz w:val="24"/>
                <w:highlight w:val="none"/>
              </w:rPr>
              <w:t>分，满分</w:t>
            </w:r>
            <w:r>
              <w:rPr>
                <w:rFonts w:ascii="宋体" w:hAnsi="宋体" w:eastAsia="宋体"/>
                <w:color w:val="auto"/>
                <w:sz w:val="24"/>
                <w:highlight w:val="none"/>
              </w:rPr>
              <w:t>9</w:t>
            </w:r>
            <w:r>
              <w:rPr>
                <w:rFonts w:hint="eastAsia" w:ascii="宋体" w:hAnsi="宋体" w:eastAsia="宋体"/>
                <w:color w:val="auto"/>
                <w:sz w:val="24"/>
                <w:highlight w:val="none"/>
              </w:rPr>
              <w:t>分。</w:t>
            </w:r>
          </w:p>
          <w:p w14:paraId="56E2210E">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40AD1E10">
            <w:pPr>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同类供货业绩：指业绩合同中至少包含智能电表。</w:t>
            </w:r>
          </w:p>
          <w:p w14:paraId="499749CC">
            <w:pPr>
              <w:spacing w:line="360" w:lineRule="auto"/>
              <w:jc w:val="left"/>
              <w:rPr>
                <w:rFonts w:ascii="宋体" w:hAnsi="宋体" w:eastAsia="宋体"/>
                <w:color w:val="auto"/>
                <w:sz w:val="24"/>
                <w:highlight w:val="none"/>
              </w:rPr>
            </w:pPr>
            <w:r>
              <w:rPr>
                <w:rFonts w:hint="eastAsia" w:ascii="宋体" w:hAnsi="宋体" w:eastAsia="宋体" w:cs="宋体"/>
                <w:b/>
                <w:bCs/>
                <w:color w:val="auto"/>
                <w:sz w:val="24"/>
                <w:szCs w:val="24"/>
                <w:highlight w:val="none"/>
                <w:lang w:val="en-US" w:eastAsia="zh-CN"/>
              </w:rPr>
              <w:t>业绩合同在</w:t>
            </w:r>
            <w:r>
              <w:rPr>
                <w:rFonts w:hint="eastAsia" w:ascii="宋体" w:hAnsi="宋体" w:eastAsia="宋体" w:cs="宋体"/>
                <w:b/>
                <w:bCs/>
                <w:color w:val="auto"/>
                <w:sz w:val="24"/>
                <w:szCs w:val="24"/>
                <w:highlight w:val="none"/>
              </w:rPr>
              <w:t>投标文件</w:t>
            </w:r>
            <w:r>
              <w:rPr>
                <w:rFonts w:hint="eastAsia" w:ascii="宋体" w:hAnsi="宋体" w:eastAsia="宋体"/>
                <w:b/>
                <w:bCs/>
                <w:color w:val="auto"/>
                <w:sz w:val="24"/>
                <w:highlight w:val="none"/>
              </w:rPr>
              <w:t>中须提供合同扫描件或影印件，如合同中无法体现项目类别、签订时间等明细，须另附加盖合同甲方公章的证明材料佐证。</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27D63347">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w:t>
            </w:r>
            <w:r>
              <w:rPr>
                <w:rFonts w:ascii="宋体" w:hAnsi="宋体" w:eastAsia="宋体"/>
                <w:b/>
                <w:bCs/>
                <w:color w:val="auto"/>
                <w:sz w:val="24"/>
                <w:highlight w:val="none"/>
              </w:rPr>
              <w:t>9</w:t>
            </w:r>
            <w:r>
              <w:rPr>
                <w:rFonts w:hint="eastAsia" w:ascii="宋体" w:hAnsi="宋体" w:eastAsia="宋体"/>
                <w:b/>
                <w:bCs/>
                <w:color w:val="auto"/>
                <w:sz w:val="24"/>
                <w:highlight w:val="none"/>
              </w:rPr>
              <w:t>分</w:t>
            </w:r>
          </w:p>
        </w:tc>
      </w:tr>
      <w:tr w14:paraId="50D2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6A13725C">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71177928">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认证证书</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3CC4908E">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lang w:val="en-US" w:eastAsia="zh-CN"/>
              </w:rPr>
              <w:t>投标人</w:t>
            </w:r>
            <w:r>
              <w:rPr>
                <w:rFonts w:hint="eastAsia" w:ascii="宋体" w:hAnsi="宋体" w:eastAsia="宋体"/>
                <w:color w:val="auto"/>
                <w:sz w:val="24"/>
                <w:highlight w:val="none"/>
              </w:rPr>
              <w:t>具有经中国国家认证认可监督管理委员会认证机构颁发的有效期内的：</w:t>
            </w:r>
          </w:p>
          <w:p w14:paraId="1EC715AF">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1.质量管理体系认证的，得</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分；</w:t>
            </w:r>
          </w:p>
          <w:p w14:paraId="43DD920C">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2.环境管理体系认证的，得</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分；</w:t>
            </w:r>
          </w:p>
          <w:p w14:paraId="358BF98F">
            <w:pPr>
              <w:spacing w:line="360" w:lineRule="auto"/>
              <w:jc w:val="left"/>
              <w:rPr>
                <w:rFonts w:hint="eastAsia" w:ascii="宋体" w:hAnsi="宋体" w:eastAsia="宋体"/>
                <w:color w:val="auto"/>
                <w:sz w:val="24"/>
                <w:highlight w:val="none"/>
              </w:rPr>
            </w:pPr>
            <w:r>
              <w:rPr>
                <w:rFonts w:hint="eastAsia" w:ascii="宋体" w:hAnsi="宋体" w:eastAsia="宋体"/>
                <w:color w:val="auto"/>
                <w:sz w:val="24"/>
                <w:highlight w:val="none"/>
              </w:rPr>
              <w:t>3.职业健康安全管理体系认证的，得</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分；</w:t>
            </w:r>
          </w:p>
          <w:p w14:paraId="6BE522D0">
            <w:pPr>
              <w:spacing w:line="360" w:lineRule="auto"/>
              <w:jc w:val="left"/>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.信息安全管理体系认证证书</w:t>
            </w:r>
            <w:r>
              <w:rPr>
                <w:rFonts w:hint="eastAsia" w:ascii="宋体" w:hAnsi="宋体" w:eastAsia="宋体"/>
                <w:color w:val="auto"/>
                <w:sz w:val="24"/>
                <w:highlight w:val="none"/>
                <w:lang w:val="en-US" w:eastAsia="zh-CN"/>
              </w:rPr>
              <w:t>的，</w:t>
            </w:r>
            <w:r>
              <w:rPr>
                <w:rFonts w:hint="eastAsia" w:ascii="宋体" w:hAnsi="宋体" w:eastAsia="宋体"/>
                <w:color w:val="auto"/>
                <w:sz w:val="24"/>
                <w:highlight w:val="none"/>
              </w:rPr>
              <w:t>得2分</w:t>
            </w:r>
            <w:r>
              <w:rPr>
                <w:rFonts w:hint="eastAsia" w:ascii="宋体" w:hAnsi="宋体" w:eastAsia="宋体"/>
                <w:color w:val="auto"/>
                <w:sz w:val="24"/>
                <w:highlight w:val="none"/>
                <w:lang w:eastAsia="zh-CN"/>
              </w:rPr>
              <w:t>。</w:t>
            </w:r>
          </w:p>
          <w:p w14:paraId="0B5E5865">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注：投标文件中提供认证证书扫描件和全国认证认可信息公共服务平台官网证书信息查询截图。</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3DCD24EC">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w:t>
            </w:r>
            <w:r>
              <w:rPr>
                <w:rFonts w:hint="eastAsia" w:ascii="宋体" w:hAnsi="宋体" w:eastAsia="宋体"/>
                <w:b/>
                <w:bCs/>
                <w:color w:val="auto"/>
                <w:sz w:val="24"/>
                <w:highlight w:val="none"/>
                <w:lang w:val="en-US" w:eastAsia="zh-CN"/>
              </w:rPr>
              <w:t>8</w:t>
            </w:r>
            <w:r>
              <w:rPr>
                <w:rFonts w:hint="eastAsia" w:ascii="宋体" w:hAnsi="宋体" w:eastAsia="宋体"/>
                <w:b/>
                <w:bCs/>
                <w:color w:val="auto"/>
                <w:sz w:val="24"/>
                <w:highlight w:val="none"/>
              </w:rPr>
              <w:t>分</w:t>
            </w:r>
          </w:p>
        </w:tc>
      </w:tr>
      <w:tr w14:paraId="3060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0A0133E0">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2A8BFE63">
            <w:pPr>
              <w:spacing w:line="360" w:lineRule="auto"/>
              <w:jc w:val="center"/>
              <w:rPr>
                <w:rFonts w:ascii="宋体" w:hAnsi="宋体" w:eastAsia="宋体"/>
                <w:color w:val="auto"/>
                <w:sz w:val="24"/>
                <w:highlight w:val="none"/>
              </w:rPr>
            </w:pPr>
          </w:p>
          <w:p w14:paraId="1A27F5FE">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质保期</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5617C167">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投标人承诺在采购需求中要求的质保期的基础上，每增加一年质保期的得</w:t>
            </w:r>
            <w:r>
              <w:rPr>
                <w:rFonts w:ascii="宋体" w:hAnsi="宋体" w:eastAsia="宋体"/>
                <w:color w:val="auto"/>
                <w:sz w:val="24"/>
                <w:highlight w:val="none"/>
              </w:rPr>
              <w:t>1.5</w:t>
            </w:r>
            <w:r>
              <w:rPr>
                <w:rFonts w:hint="eastAsia" w:ascii="宋体" w:hAnsi="宋体" w:eastAsia="宋体"/>
                <w:color w:val="auto"/>
                <w:sz w:val="24"/>
                <w:highlight w:val="none"/>
              </w:rPr>
              <w:t>分，满分</w:t>
            </w:r>
            <w:r>
              <w:rPr>
                <w:rFonts w:ascii="宋体" w:hAnsi="宋体" w:eastAsia="宋体"/>
                <w:color w:val="auto"/>
                <w:sz w:val="24"/>
                <w:highlight w:val="none"/>
              </w:rPr>
              <w:t>3</w:t>
            </w:r>
            <w:r>
              <w:rPr>
                <w:rFonts w:hint="eastAsia" w:ascii="宋体" w:hAnsi="宋体" w:eastAsia="宋体"/>
                <w:color w:val="auto"/>
                <w:sz w:val="24"/>
                <w:highlight w:val="none"/>
              </w:rPr>
              <w:t>分，增加不足1年的不得分。</w:t>
            </w:r>
          </w:p>
          <w:p w14:paraId="134CAB31">
            <w:pPr>
              <w:spacing w:line="360" w:lineRule="auto"/>
              <w:jc w:val="left"/>
              <w:rPr>
                <w:rFonts w:ascii="宋体" w:hAnsi="宋体" w:eastAsia="宋体"/>
                <w:color w:val="auto"/>
                <w:sz w:val="24"/>
                <w:highlight w:val="none"/>
              </w:rPr>
            </w:pPr>
            <w:r>
              <w:rPr>
                <w:rFonts w:hint="eastAsia" w:ascii="宋体" w:hAnsi="宋体" w:eastAsia="宋体"/>
                <w:b/>
                <w:bCs/>
                <w:color w:val="auto"/>
                <w:sz w:val="24"/>
                <w:highlight w:val="none"/>
              </w:rPr>
              <w:t>注：以</w:t>
            </w:r>
            <w:r>
              <w:rPr>
                <w:rFonts w:hint="eastAsia" w:ascii="宋体" w:hAnsi="宋体" w:eastAsia="宋体"/>
                <w:b/>
                <w:bCs/>
                <w:strike w:val="0"/>
                <w:dstrike w:val="0"/>
                <w:color w:val="auto"/>
                <w:sz w:val="24"/>
                <w:highlight w:val="none"/>
              </w:rPr>
              <w:t>投标响应表中投标人承诺的</w:t>
            </w:r>
            <w:r>
              <w:rPr>
                <w:rFonts w:hint="eastAsia" w:ascii="宋体" w:hAnsi="宋体" w:eastAsia="宋体"/>
                <w:b/>
                <w:bCs/>
                <w:strike w:val="0"/>
                <w:dstrike w:val="0"/>
                <w:color w:val="auto"/>
                <w:sz w:val="24"/>
                <w:highlight w:val="none"/>
                <w:lang w:val="en-US" w:eastAsia="zh-CN"/>
              </w:rPr>
              <w:t>免费</w:t>
            </w:r>
            <w:r>
              <w:rPr>
                <w:rFonts w:hint="eastAsia" w:ascii="宋体" w:hAnsi="宋体" w:eastAsia="宋体"/>
                <w:b/>
                <w:bCs/>
                <w:color w:val="auto"/>
                <w:sz w:val="24"/>
                <w:highlight w:val="none"/>
                <w:lang w:val="en-US" w:eastAsia="zh-CN"/>
              </w:rPr>
              <w:t>质保期</w:t>
            </w:r>
            <w:r>
              <w:rPr>
                <w:rFonts w:hint="eastAsia" w:ascii="宋体" w:hAnsi="宋体" w:eastAsia="宋体"/>
                <w:b/>
                <w:bCs/>
                <w:color w:val="auto"/>
                <w:sz w:val="24"/>
                <w:highlight w:val="none"/>
              </w:rPr>
              <w:t>作为评审依据。</w:t>
            </w:r>
            <w:r>
              <w:rPr>
                <w:rFonts w:hint="eastAsia" w:ascii="宋体" w:hAnsi="宋体" w:eastAsia="宋体"/>
                <w:color w:val="auto"/>
                <w:sz w:val="24"/>
                <w:highlight w:val="none"/>
              </w:rPr>
              <w:t>所有费用均包含在投标人的投标报价中，中标后采购人不再另行支付任何费用。</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35A20164">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w:t>
            </w:r>
            <w:r>
              <w:rPr>
                <w:rFonts w:ascii="宋体" w:hAnsi="宋体" w:eastAsia="宋体"/>
                <w:b/>
                <w:bCs/>
                <w:color w:val="auto"/>
                <w:sz w:val="24"/>
                <w:highlight w:val="none"/>
              </w:rPr>
              <w:t>3</w:t>
            </w:r>
            <w:r>
              <w:rPr>
                <w:rFonts w:hint="eastAsia" w:ascii="宋体" w:hAnsi="宋体" w:eastAsia="宋体"/>
                <w:b/>
                <w:bCs/>
                <w:color w:val="auto"/>
                <w:sz w:val="24"/>
                <w:highlight w:val="none"/>
              </w:rPr>
              <w:t>分</w:t>
            </w:r>
          </w:p>
        </w:tc>
      </w:tr>
      <w:tr w14:paraId="1C48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748B8996">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4C17C2DB">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安装、调试方案</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02F9415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根据投标人提供的安装与调试方案，包括但不限于安装、调试的组织实施（含安装与调试及技术支撑、安全文明安装及环境保护措施），由评审小组进行评审：</w:t>
            </w:r>
          </w:p>
          <w:p w14:paraId="1DE3245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（1）方案完整详细，可行性、实用性、针对性强，得5分；</w:t>
            </w:r>
          </w:p>
          <w:p w14:paraId="4D7C6028">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（2）方案完整，可行性、实用性、针对性契合项目需求，得4分；</w:t>
            </w:r>
          </w:p>
          <w:p w14:paraId="75B9607D">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（3）方案基本完整，适合本项目采购需求，具有可行性实用性和针对性，得3分；</w:t>
            </w:r>
          </w:p>
          <w:p w14:paraId="7BCE9688">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（4）方案框架具备，可行性、实用性、针对性基本满足，得2分；</w:t>
            </w:r>
          </w:p>
          <w:p w14:paraId="68DB6E99">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（5）方案有待提升，可行性、实用性针对性有待改善，得1分；</w:t>
            </w:r>
          </w:p>
          <w:p w14:paraId="6772C255">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（6）方案不可行或者未提供得0分。</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2783DCCC">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0-5分</w:t>
            </w:r>
          </w:p>
        </w:tc>
      </w:tr>
      <w:tr w14:paraId="0DF90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6ABDBD03">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51CEB2F6">
            <w:pPr>
              <w:spacing w:line="360" w:lineRule="auto"/>
              <w:jc w:val="center"/>
              <w:rPr>
                <w:rFonts w:ascii="宋体" w:hAnsi="宋体" w:eastAsia="宋体"/>
                <w:color w:val="auto"/>
                <w:sz w:val="24"/>
                <w:highlight w:val="none"/>
              </w:rPr>
            </w:pPr>
          </w:p>
          <w:p w14:paraId="210D7D06">
            <w:pPr>
              <w:spacing w:line="360" w:lineRule="auto"/>
              <w:jc w:val="center"/>
              <w:rPr>
                <w:rFonts w:ascii="宋体" w:hAnsi="宋体" w:eastAsia="宋体"/>
                <w:color w:val="auto"/>
                <w:sz w:val="24"/>
                <w:highlight w:val="none"/>
              </w:rPr>
            </w:pPr>
          </w:p>
          <w:p w14:paraId="4EB3D563">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供货、技术培训方案</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41F5E4A2">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投标人提供的供货、技术培训及验收方案应包括以下内容：</w:t>
            </w:r>
          </w:p>
          <w:p w14:paraId="533BEDA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产品供货、技术培训计划方案（0-5分）；</w:t>
            </w:r>
          </w:p>
          <w:p w14:paraId="4BD2E15D">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评标委员会根据以上内容进行综合评审：</w:t>
            </w:r>
          </w:p>
          <w:p w14:paraId="3E7B2363">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（1）方案完整详细，可行性、实用性、针对性强，得5分；</w:t>
            </w:r>
          </w:p>
          <w:p w14:paraId="566C820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）方案基本完整，适合本项目采购需求，具有可行性实用性和针对性，得3分；</w:t>
            </w:r>
          </w:p>
          <w:p w14:paraId="3B076A55">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）方案有待提升，可行性、实用性针对性有待改善，得1分；</w:t>
            </w:r>
          </w:p>
          <w:p w14:paraId="73C7B00D">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）方案不可行或者未提供得0分。</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1E493F5F">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w:t>
            </w:r>
            <w:r>
              <w:rPr>
                <w:rFonts w:hint="eastAsia" w:ascii="宋体" w:hAnsi="宋体" w:eastAsia="宋体"/>
                <w:b/>
                <w:bCs/>
                <w:color w:val="auto"/>
                <w:sz w:val="24"/>
                <w:highlight w:val="none"/>
                <w:lang w:val="en-US" w:eastAsia="zh-CN"/>
              </w:rPr>
              <w:t>5</w:t>
            </w:r>
            <w:r>
              <w:rPr>
                <w:rFonts w:hint="eastAsia" w:ascii="宋体" w:hAnsi="宋体" w:eastAsia="宋体"/>
                <w:b/>
                <w:bCs/>
                <w:color w:val="auto"/>
                <w:sz w:val="24"/>
                <w:highlight w:val="none"/>
              </w:rPr>
              <w:t>分</w:t>
            </w:r>
          </w:p>
        </w:tc>
      </w:tr>
      <w:tr w14:paraId="2FB4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vMerge w:val="continue"/>
            <w:tcBorders>
              <w:left w:val="single" w:color="auto" w:sz="4" w:space="0"/>
              <w:right w:val="single" w:color="auto" w:sz="4" w:space="0"/>
            </w:tcBorders>
            <w:noWrap w:val="0"/>
            <w:vAlign w:val="center"/>
          </w:tcPr>
          <w:p w14:paraId="2CDA550B">
            <w:pPr>
              <w:spacing w:line="360" w:lineRule="auto"/>
              <w:ind w:firstLine="435"/>
              <w:jc w:val="center"/>
              <w:rPr>
                <w:rFonts w:ascii="宋体" w:hAnsi="宋体" w:eastAsia="宋体"/>
                <w:b/>
                <w:bCs/>
                <w:color w:val="auto"/>
                <w:sz w:val="24"/>
                <w:highlight w:val="none"/>
              </w:rPr>
            </w:pPr>
          </w:p>
        </w:tc>
        <w:tc>
          <w:tcPr>
            <w:tcW w:w="1009" w:type="pct"/>
            <w:tcBorders>
              <w:top w:val="single" w:color="auto" w:sz="4" w:space="0"/>
              <w:left w:val="single" w:color="auto" w:sz="4" w:space="0"/>
              <w:bottom w:val="single" w:color="auto" w:sz="4" w:space="0"/>
              <w:right w:val="single" w:color="auto" w:sz="4" w:space="0"/>
            </w:tcBorders>
            <w:noWrap w:val="0"/>
            <w:vAlign w:val="center"/>
          </w:tcPr>
          <w:p w14:paraId="66B9003E">
            <w:pPr>
              <w:spacing w:line="360" w:lineRule="auto"/>
              <w:jc w:val="center"/>
              <w:rPr>
                <w:rFonts w:ascii="宋体" w:hAnsi="宋体" w:eastAsia="宋体"/>
                <w:color w:val="auto"/>
                <w:sz w:val="24"/>
                <w:highlight w:val="none"/>
              </w:rPr>
            </w:pPr>
          </w:p>
          <w:p w14:paraId="35DEA6DD">
            <w:pPr>
              <w:spacing w:line="360" w:lineRule="auto"/>
              <w:jc w:val="center"/>
              <w:rPr>
                <w:rFonts w:ascii="宋体" w:hAnsi="宋体" w:eastAsia="宋体"/>
                <w:color w:val="auto"/>
                <w:sz w:val="24"/>
                <w:highlight w:val="none"/>
              </w:rPr>
            </w:pPr>
          </w:p>
          <w:p w14:paraId="362B4D7C">
            <w:pPr>
              <w:spacing w:line="360" w:lineRule="auto"/>
              <w:jc w:val="center"/>
              <w:rPr>
                <w:rFonts w:ascii="宋体" w:hAnsi="宋体" w:eastAsia="宋体"/>
                <w:color w:val="auto"/>
                <w:sz w:val="24"/>
                <w:highlight w:val="none"/>
              </w:rPr>
            </w:pPr>
          </w:p>
          <w:p w14:paraId="5CB8CF19">
            <w:pPr>
              <w:spacing w:line="360" w:lineRule="auto"/>
              <w:jc w:val="center"/>
              <w:rPr>
                <w:rFonts w:ascii="宋体" w:hAnsi="宋体" w:eastAsia="宋体"/>
                <w:color w:val="auto"/>
                <w:sz w:val="24"/>
                <w:highlight w:val="none"/>
              </w:rPr>
            </w:pPr>
          </w:p>
          <w:p w14:paraId="119635BD">
            <w:pPr>
              <w:spacing w:line="360" w:lineRule="auto"/>
              <w:jc w:val="center"/>
              <w:rPr>
                <w:rFonts w:ascii="宋体" w:hAnsi="宋体" w:eastAsia="宋体"/>
                <w:color w:val="auto"/>
                <w:sz w:val="24"/>
                <w:highlight w:val="none"/>
              </w:rPr>
            </w:pPr>
          </w:p>
          <w:p w14:paraId="22975DBD">
            <w:pPr>
              <w:spacing w:line="360" w:lineRule="auto"/>
              <w:jc w:val="center"/>
              <w:rPr>
                <w:rFonts w:ascii="宋体" w:hAnsi="宋体" w:eastAsia="宋体"/>
                <w:color w:val="auto"/>
                <w:sz w:val="24"/>
                <w:highlight w:val="none"/>
              </w:rPr>
            </w:pPr>
          </w:p>
          <w:p w14:paraId="69924778">
            <w:pPr>
              <w:spacing w:line="360" w:lineRule="auto"/>
              <w:jc w:val="center"/>
              <w:rPr>
                <w:rFonts w:ascii="宋体" w:hAnsi="宋体" w:eastAsia="宋体"/>
                <w:color w:val="auto"/>
                <w:sz w:val="24"/>
                <w:highlight w:val="none"/>
              </w:rPr>
            </w:pPr>
          </w:p>
          <w:p w14:paraId="5686C934">
            <w:pPr>
              <w:spacing w:line="360" w:lineRule="auto"/>
              <w:jc w:val="center"/>
              <w:rPr>
                <w:rFonts w:hint="eastAsia" w:ascii="宋体" w:hAnsi="宋体" w:eastAsia="宋体"/>
                <w:color w:val="auto"/>
                <w:sz w:val="24"/>
                <w:highlight w:val="none"/>
                <w:lang w:eastAsia="zh-CN"/>
              </w:rPr>
            </w:pPr>
            <w:r>
              <w:rPr>
                <w:rFonts w:hint="eastAsia" w:ascii="宋体" w:hAnsi="宋体" w:eastAsia="宋体"/>
                <w:color w:val="auto"/>
                <w:sz w:val="24"/>
                <w:highlight w:val="none"/>
              </w:rPr>
              <w:t>售后服务和维保体系</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含质保期满后投标人所报的元器件成本费</w:t>
            </w:r>
            <w:r>
              <w:rPr>
                <w:rFonts w:hint="eastAsia" w:ascii="宋体" w:hAnsi="宋体" w:eastAsia="宋体"/>
                <w:color w:val="auto"/>
                <w:sz w:val="24"/>
                <w:highlight w:val="none"/>
                <w:lang w:eastAsia="zh-CN"/>
              </w:rPr>
              <w:t>）</w:t>
            </w:r>
          </w:p>
        </w:tc>
        <w:tc>
          <w:tcPr>
            <w:tcW w:w="2197" w:type="pct"/>
            <w:tcBorders>
              <w:top w:val="single" w:color="auto" w:sz="4" w:space="0"/>
              <w:left w:val="single" w:color="auto" w:sz="4" w:space="0"/>
              <w:bottom w:val="single" w:color="auto" w:sz="4" w:space="0"/>
              <w:right w:val="single" w:color="auto" w:sz="4" w:space="0"/>
            </w:tcBorders>
            <w:noWrap w:val="0"/>
            <w:vAlign w:val="center"/>
          </w:tcPr>
          <w:p w14:paraId="4F784018">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投标人提供的售后服务和维保体系应包括以下内容：</w:t>
            </w:r>
          </w:p>
          <w:p w14:paraId="5F56E46A">
            <w:pPr>
              <w:numPr>
                <w:ilvl w:val="0"/>
                <w:numId w:val="2"/>
              </w:numPr>
              <w:spacing w:line="360" w:lineRule="auto"/>
              <w:jc w:val="left"/>
              <w:rPr>
                <w:rFonts w:hint="eastAsia" w:ascii="宋体" w:hAnsi="宋体" w:eastAsia="宋体"/>
                <w:color w:val="auto"/>
                <w:sz w:val="24"/>
                <w:highlight w:val="none"/>
              </w:rPr>
            </w:pPr>
            <w:r>
              <w:rPr>
                <w:rFonts w:hint="eastAsia" w:ascii="宋体" w:hAnsi="宋体" w:eastAsia="宋体"/>
                <w:color w:val="auto"/>
                <w:sz w:val="24"/>
                <w:highlight w:val="none"/>
              </w:rPr>
              <w:t>售后技术服务</w:t>
            </w:r>
            <w:r>
              <w:rPr>
                <w:rFonts w:hint="eastAsia" w:ascii="宋体" w:hAnsi="宋体" w:eastAsia="宋体"/>
                <w:color w:val="auto"/>
                <w:sz w:val="24"/>
                <w:highlight w:val="none"/>
                <w:lang w:val="en-US" w:eastAsia="zh-CN"/>
              </w:rPr>
              <w:t>要求</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提供多元化服务方式</w:t>
            </w:r>
            <w:r>
              <w:rPr>
                <w:rFonts w:hint="eastAsia" w:ascii="宋体" w:hAnsi="宋体" w:eastAsia="宋体"/>
                <w:color w:val="auto"/>
                <w:sz w:val="24"/>
                <w:highlight w:val="none"/>
              </w:rPr>
              <w:t>（0-5分）；</w:t>
            </w:r>
            <w:r>
              <w:rPr>
                <w:rFonts w:hint="eastAsia" w:ascii="宋体" w:hAnsi="宋体" w:eastAsia="宋体"/>
                <w:color w:val="auto"/>
                <w:sz w:val="24"/>
                <w:highlight w:val="none"/>
                <w:lang w:val="en-US" w:eastAsia="zh-CN"/>
              </w:rPr>
              <w:t>（包含但不限于提供线上服务平台</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400售后报修服务平台</w:t>
            </w: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移动化报修服务工具）提供一项得1分，提供两项得3分，完全满足得5分</w:t>
            </w:r>
            <w:r>
              <w:rPr>
                <w:rFonts w:hint="eastAsia" w:ascii="宋体" w:hAnsi="宋体" w:eastAsia="宋体"/>
                <w:color w:val="auto"/>
                <w:sz w:val="24"/>
                <w:highlight w:val="none"/>
              </w:rPr>
              <w:t>。</w:t>
            </w:r>
          </w:p>
          <w:p w14:paraId="639BF686">
            <w:pPr>
              <w:numPr>
                <w:ilvl w:val="0"/>
                <w:numId w:val="0"/>
              </w:num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2.售后服务及维保体系</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含质保期满后投标人所报的元器件成本费</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（0-5分）；</w:t>
            </w:r>
          </w:p>
          <w:p w14:paraId="2E6D52BE">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评标委员会根据以上内容进行综合评审：</w:t>
            </w:r>
          </w:p>
          <w:p w14:paraId="4FD4142F">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（1）售后服务和维保体系完整详细，可行性、实用性、针对性强，得5分；</w:t>
            </w:r>
          </w:p>
          <w:p w14:paraId="0C91C3DA">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）售后服务和维保体系基本完整，适合本项目采购需求，具有可行性实用性和针对性，得3分；</w:t>
            </w:r>
          </w:p>
          <w:p w14:paraId="4B3B3EB7">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3</w:t>
            </w:r>
            <w:r>
              <w:rPr>
                <w:rFonts w:hint="eastAsia" w:ascii="宋体" w:hAnsi="宋体" w:eastAsia="宋体"/>
                <w:color w:val="auto"/>
                <w:sz w:val="24"/>
                <w:highlight w:val="none"/>
              </w:rPr>
              <w:t>）售后服务和维保体系有待提升，可行性、实用性针对性有待改善，得1分；</w:t>
            </w:r>
          </w:p>
          <w:p w14:paraId="29FC3074">
            <w:pPr>
              <w:spacing w:line="360" w:lineRule="auto"/>
              <w:jc w:val="left"/>
              <w:rPr>
                <w:rFonts w:ascii="宋体" w:hAnsi="宋体" w:eastAsia="宋体"/>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lang w:val="en-US" w:eastAsia="zh-CN"/>
              </w:rPr>
              <w:t>4</w:t>
            </w:r>
            <w:r>
              <w:rPr>
                <w:rFonts w:hint="eastAsia" w:ascii="宋体" w:hAnsi="宋体" w:eastAsia="宋体"/>
                <w:color w:val="auto"/>
                <w:sz w:val="24"/>
                <w:highlight w:val="none"/>
              </w:rPr>
              <w:t>）售后服务和维保体系不可行或者未提供得0分。</w:t>
            </w:r>
          </w:p>
        </w:tc>
        <w:tc>
          <w:tcPr>
            <w:tcW w:w="927" w:type="pct"/>
            <w:tcBorders>
              <w:top w:val="single" w:color="auto" w:sz="4" w:space="0"/>
              <w:left w:val="single" w:color="auto" w:sz="4" w:space="0"/>
              <w:bottom w:val="single" w:color="auto" w:sz="4" w:space="0"/>
              <w:right w:val="single" w:color="auto" w:sz="4" w:space="0"/>
            </w:tcBorders>
            <w:noWrap w:val="0"/>
            <w:vAlign w:val="center"/>
          </w:tcPr>
          <w:p w14:paraId="55DBC9A9">
            <w:pPr>
              <w:spacing w:line="360" w:lineRule="auto"/>
              <w:jc w:val="center"/>
              <w:rPr>
                <w:rFonts w:ascii="宋体" w:hAnsi="宋体" w:eastAsia="宋体"/>
                <w:b/>
                <w:bCs/>
                <w:color w:val="auto"/>
                <w:sz w:val="24"/>
                <w:highlight w:val="none"/>
              </w:rPr>
            </w:pPr>
            <w:r>
              <w:rPr>
                <w:rFonts w:hint="eastAsia" w:ascii="宋体" w:hAnsi="宋体" w:eastAsia="宋体"/>
                <w:b/>
                <w:bCs/>
                <w:color w:val="auto"/>
                <w:sz w:val="24"/>
                <w:highlight w:val="none"/>
              </w:rPr>
              <w:t>0-10分</w:t>
            </w:r>
          </w:p>
        </w:tc>
      </w:tr>
      <w:tr w14:paraId="1DBC7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pct"/>
            <w:tcBorders>
              <w:left w:val="single" w:color="auto" w:sz="4" w:space="0"/>
              <w:right w:val="single" w:color="auto" w:sz="4" w:space="0"/>
            </w:tcBorders>
            <w:noWrap w:val="0"/>
            <w:vAlign w:val="center"/>
          </w:tcPr>
          <w:p w14:paraId="294DBBDD">
            <w:pPr>
              <w:spacing w:line="360" w:lineRule="auto"/>
              <w:jc w:val="center"/>
              <w:rPr>
                <w:rFonts w:ascii="宋体" w:hAnsi="宋体" w:eastAsia="宋体"/>
                <w:color w:val="auto"/>
                <w:sz w:val="24"/>
                <w:highlight w:val="none"/>
              </w:rPr>
            </w:pPr>
            <w:r>
              <w:rPr>
                <w:rFonts w:hint="eastAsia" w:ascii="宋体" w:hAnsi="宋体" w:eastAsia="宋体"/>
                <w:color w:val="auto"/>
                <w:sz w:val="24"/>
                <w:highlight w:val="none"/>
              </w:rPr>
              <w:t>价格分</w:t>
            </w:r>
          </w:p>
          <w:p w14:paraId="5A6306E1">
            <w:pPr>
              <w:spacing w:line="360" w:lineRule="auto"/>
              <w:jc w:val="center"/>
              <w:rPr>
                <w:rFonts w:ascii="宋体" w:hAnsi="宋体" w:eastAsia="宋体"/>
                <w:b/>
                <w:bCs/>
                <w:color w:val="auto"/>
                <w:sz w:val="24"/>
                <w:highlight w:val="none"/>
              </w:rPr>
            </w:pPr>
            <w:r>
              <w:rPr>
                <w:rFonts w:hint="eastAsia" w:ascii="宋体" w:hAnsi="宋体" w:eastAsia="宋体"/>
                <w:color w:val="auto"/>
                <w:sz w:val="24"/>
                <w:highlight w:val="none"/>
              </w:rPr>
              <w:t>（</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30</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分）</w:t>
            </w:r>
          </w:p>
        </w:tc>
        <w:tc>
          <w:tcPr>
            <w:tcW w:w="4134" w:type="pct"/>
            <w:gridSpan w:val="3"/>
            <w:tcBorders>
              <w:top w:val="single" w:color="auto" w:sz="4" w:space="0"/>
              <w:left w:val="single" w:color="auto" w:sz="4" w:space="0"/>
              <w:bottom w:val="single" w:color="auto" w:sz="4" w:space="0"/>
              <w:right w:val="single" w:color="auto" w:sz="4" w:space="0"/>
            </w:tcBorders>
            <w:noWrap w:val="0"/>
            <w:vAlign w:val="center"/>
          </w:tcPr>
          <w:p w14:paraId="4F48138A">
            <w:pPr>
              <w:spacing w:line="360" w:lineRule="auto"/>
              <w:rPr>
                <w:rFonts w:ascii="宋体" w:hAnsi="宋体" w:eastAsia="宋体"/>
                <w:color w:val="auto"/>
                <w:sz w:val="24"/>
                <w:highlight w:val="none"/>
              </w:rPr>
            </w:pPr>
            <w:r>
              <w:rPr>
                <w:rFonts w:hint="eastAsia" w:ascii="宋体" w:hAnsi="宋体" w:eastAsia="宋体"/>
                <w:color w:val="auto"/>
                <w:sz w:val="24"/>
                <w:highlight w:val="none"/>
              </w:rPr>
              <w:t>价格分统一采用低价优先法，即满足招标文件要求且投标价格最低的投标报价为评标基准价，其价格分为满分</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30</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分。其他投标人的价格分统一按照下列公式计算：</w:t>
            </w:r>
          </w:p>
          <w:p w14:paraId="62031299">
            <w:pPr>
              <w:spacing w:line="360" w:lineRule="auto"/>
              <w:rPr>
                <w:rFonts w:ascii="宋体" w:hAnsi="宋体" w:eastAsia="宋体"/>
                <w:b/>
                <w:bCs/>
                <w:color w:val="auto"/>
                <w:sz w:val="24"/>
                <w:highlight w:val="none"/>
              </w:rPr>
            </w:pPr>
            <w:r>
              <w:rPr>
                <w:rFonts w:hint="eastAsia" w:ascii="宋体" w:hAnsi="宋体" w:eastAsia="宋体"/>
                <w:color w:val="auto"/>
                <w:sz w:val="24"/>
                <w:highlight w:val="none"/>
              </w:rPr>
              <w:t>投标报价得分＝（评标基准价/投标报价）×</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val="en-US" w:eastAsia="zh-CN"/>
              </w:rPr>
              <w:t>30</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％×100</w:t>
            </w:r>
          </w:p>
        </w:tc>
      </w:tr>
    </w:tbl>
    <w:p w14:paraId="03E9D687">
      <w:pP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2A5D2">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2C0788">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62C0788">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EBA84"/>
    <w:multiLevelType w:val="singleLevel"/>
    <w:tmpl w:val="A81EBA84"/>
    <w:lvl w:ilvl="0" w:tentative="0">
      <w:start w:val="3"/>
      <w:numFmt w:val="decimal"/>
      <w:suff w:val="nothing"/>
      <w:lvlText w:val="（%1）"/>
      <w:lvlJc w:val="left"/>
    </w:lvl>
  </w:abstractNum>
  <w:abstractNum w:abstractNumId="1">
    <w:nsid w:val="5DA96E8E"/>
    <w:multiLevelType w:val="singleLevel"/>
    <w:tmpl w:val="5DA96E8E"/>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8B"/>
    <w:rsid w:val="00045482"/>
    <w:rsid w:val="000A5079"/>
    <w:rsid w:val="00171144"/>
    <w:rsid w:val="00380D86"/>
    <w:rsid w:val="003B7BC0"/>
    <w:rsid w:val="003E5B81"/>
    <w:rsid w:val="003F5330"/>
    <w:rsid w:val="00441764"/>
    <w:rsid w:val="004969AF"/>
    <w:rsid w:val="00520DA8"/>
    <w:rsid w:val="005B4B27"/>
    <w:rsid w:val="006B618B"/>
    <w:rsid w:val="00780018"/>
    <w:rsid w:val="009A1770"/>
    <w:rsid w:val="00A257BA"/>
    <w:rsid w:val="00A354C7"/>
    <w:rsid w:val="00AD7CED"/>
    <w:rsid w:val="00B56083"/>
    <w:rsid w:val="00CC3661"/>
    <w:rsid w:val="00D02529"/>
    <w:rsid w:val="00D76441"/>
    <w:rsid w:val="00D843E9"/>
    <w:rsid w:val="00E03042"/>
    <w:rsid w:val="00E92411"/>
    <w:rsid w:val="00F717EA"/>
    <w:rsid w:val="015E0632"/>
    <w:rsid w:val="02D908B8"/>
    <w:rsid w:val="05B60A3D"/>
    <w:rsid w:val="06110369"/>
    <w:rsid w:val="064E112E"/>
    <w:rsid w:val="07244F73"/>
    <w:rsid w:val="073065CD"/>
    <w:rsid w:val="087B58B3"/>
    <w:rsid w:val="092B0397"/>
    <w:rsid w:val="0A067AB9"/>
    <w:rsid w:val="0A6C3DC0"/>
    <w:rsid w:val="0B1C57E6"/>
    <w:rsid w:val="0B642CE9"/>
    <w:rsid w:val="0D335069"/>
    <w:rsid w:val="11C75D80"/>
    <w:rsid w:val="11E15B5F"/>
    <w:rsid w:val="13051255"/>
    <w:rsid w:val="1359205D"/>
    <w:rsid w:val="14321BD6"/>
    <w:rsid w:val="150647E3"/>
    <w:rsid w:val="17AD77C6"/>
    <w:rsid w:val="19FF77E6"/>
    <w:rsid w:val="1A6F204B"/>
    <w:rsid w:val="1AEA79DF"/>
    <w:rsid w:val="1B440441"/>
    <w:rsid w:val="1B852DAA"/>
    <w:rsid w:val="1DB55626"/>
    <w:rsid w:val="1E8416E8"/>
    <w:rsid w:val="1FE421DE"/>
    <w:rsid w:val="1FF92E60"/>
    <w:rsid w:val="209239FD"/>
    <w:rsid w:val="20D364EF"/>
    <w:rsid w:val="21CF315A"/>
    <w:rsid w:val="22EC6CD2"/>
    <w:rsid w:val="23C245F9"/>
    <w:rsid w:val="254259F1"/>
    <w:rsid w:val="26E36D60"/>
    <w:rsid w:val="273B6B9C"/>
    <w:rsid w:val="273E668C"/>
    <w:rsid w:val="277D71B5"/>
    <w:rsid w:val="29D46E34"/>
    <w:rsid w:val="2A35362F"/>
    <w:rsid w:val="2A4F574A"/>
    <w:rsid w:val="2B326AF2"/>
    <w:rsid w:val="2BFE6E4E"/>
    <w:rsid w:val="313A7EC4"/>
    <w:rsid w:val="31C12394"/>
    <w:rsid w:val="3236068C"/>
    <w:rsid w:val="32522CA9"/>
    <w:rsid w:val="32C043F9"/>
    <w:rsid w:val="331A3528"/>
    <w:rsid w:val="33F16BB0"/>
    <w:rsid w:val="340622E0"/>
    <w:rsid w:val="34224076"/>
    <w:rsid w:val="345E211C"/>
    <w:rsid w:val="34BD6E42"/>
    <w:rsid w:val="35450C3E"/>
    <w:rsid w:val="35CB5EC4"/>
    <w:rsid w:val="362C0724"/>
    <w:rsid w:val="373F4487"/>
    <w:rsid w:val="37E4576F"/>
    <w:rsid w:val="38795776"/>
    <w:rsid w:val="391159AF"/>
    <w:rsid w:val="396E1053"/>
    <w:rsid w:val="3D4F3E78"/>
    <w:rsid w:val="3E2E2B5F"/>
    <w:rsid w:val="3EDE4585"/>
    <w:rsid w:val="3F204B9E"/>
    <w:rsid w:val="40D5722F"/>
    <w:rsid w:val="412F3DED"/>
    <w:rsid w:val="43E539D6"/>
    <w:rsid w:val="440305EA"/>
    <w:rsid w:val="44B57B36"/>
    <w:rsid w:val="45A007E6"/>
    <w:rsid w:val="466730B2"/>
    <w:rsid w:val="46761547"/>
    <w:rsid w:val="46BB5C1A"/>
    <w:rsid w:val="46DD15C6"/>
    <w:rsid w:val="48475245"/>
    <w:rsid w:val="484D62D8"/>
    <w:rsid w:val="48926BEB"/>
    <w:rsid w:val="49902920"/>
    <w:rsid w:val="4B221C9D"/>
    <w:rsid w:val="4BFE0015"/>
    <w:rsid w:val="500E459E"/>
    <w:rsid w:val="506A211C"/>
    <w:rsid w:val="517F39A6"/>
    <w:rsid w:val="52C610F9"/>
    <w:rsid w:val="52EB05A3"/>
    <w:rsid w:val="53426A39"/>
    <w:rsid w:val="538E3CC4"/>
    <w:rsid w:val="540E7263"/>
    <w:rsid w:val="5427507F"/>
    <w:rsid w:val="54B03E76"/>
    <w:rsid w:val="56625664"/>
    <w:rsid w:val="566364AD"/>
    <w:rsid w:val="56941CA1"/>
    <w:rsid w:val="56AB0D99"/>
    <w:rsid w:val="58311772"/>
    <w:rsid w:val="59CD1026"/>
    <w:rsid w:val="5AA63D51"/>
    <w:rsid w:val="5ABA77FD"/>
    <w:rsid w:val="5B2B24A8"/>
    <w:rsid w:val="5B411CCC"/>
    <w:rsid w:val="5BC52310"/>
    <w:rsid w:val="5C6F4617"/>
    <w:rsid w:val="5DC95797"/>
    <w:rsid w:val="5EB10F16"/>
    <w:rsid w:val="603065AE"/>
    <w:rsid w:val="60453AA2"/>
    <w:rsid w:val="61D94A0C"/>
    <w:rsid w:val="62B45479"/>
    <w:rsid w:val="63100901"/>
    <w:rsid w:val="65414C11"/>
    <w:rsid w:val="659B319B"/>
    <w:rsid w:val="661324B7"/>
    <w:rsid w:val="673624D4"/>
    <w:rsid w:val="677762CA"/>
    <w:rsid w:val="67D43165"/>
    <w:rsid w:val="6860298C"/>
    <w:rsid w:val="69D1246D"/>
    <w:rsid w:val="6A1B1B6D"/>
    <w:rsid w:val="6A2B7DCF"/>
    <w:rsid w:val="6A492459"/>
    <w:rsid w:val="6AF162E4"/>
    <w:rsid w:val="6BD50F95"/>
    <w:rsid w:val="6E677844"/>
    <w:rsid w:val="6EEC4AB4"/>
    <w:rsid w:val="6F2A4AF9"/>
    <w:rsid w:val="6F8944F1"/>
    <w:rsid w:val="707B1384"/>
    <w:rsid w:val="708E10B8"/>
    <w:rsid w:val="71A87053"/>
    <w:rsid w:val="73A24455"/>
    <w:rsid w:val="73CF2C43"/>
    <w:rsid w:val="73FC2847"/>
    <w:rsid w:val="741B3FD0"/>
    <w:rsid w:val="742C4E6F"/>
    <w:rsid w:val="76104D5D"/>
    <w:rsid w:val="766703E1"/>
    <w:rsid w:val="7703296B"/>
    <w:rsid w:val="779A2A38"/>
    <w:rsid w:val="782E082C"/>
    <w:rsid w:val="7B58479C"/>
    <w:rsid w:val="7B933D51"/>
    <w:rsid w:val="7C7F5816"/>
    <w:rsid w:val="7CD158CD"/>
    <w:rsid w:val="7D3A315F"/>
    <w:rsid w:val="7DEE3196"/>
    <w:rsid w:val="7E1F5E46"/>
    <w:rsid w:val="7E633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cs="@仿宋_GB2312" w:asciiTheme="minorEastAsia" w:hAnsiTheme="minorHAnsi" w:eastAsiaTheme="minorEastAsia"/>
      <w:kern w:val="2"/>
      <w:sz w:val="21"/>
      <w:lang w:val="en-US" w:eastAsia="zh-CN" w:bidi="ar-SA"/>
    </w:rPr>
  </w:style>
  <w:style w:type="paragraph" w:styleId="3">
    <w:name w:val="heading 1"/>
    <w:basedOn w:val="1"/>
    <w:next w:val="1"/>
    <w:qFormat/>
    <w:uiPriority w:val="9"/>
    <w:pPr>
      <w:keepNext/>
      <w:keepLines/>
      <w:spacing w:line="360" w:lineRule="auto"/>
      <w:jc w:val="center"/>
      <w:outlineLvl w:val="0"/>
    </w:pPr>
    <w:rPr>
      <w:rFonts w:ascii="Times New Roman" w:hAnsi="Times New Roman" w:eastAsia="方正小标宋_GBK" w:cs="Times New Roman"/>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qFormat/>
    <w:uiPriority w:val="9"/>
    <w:pPr>
      <w:keepNext/>
      <w:keepLines/>
      <w:spacing w:before="260" w:after="260" w:line="416" w:lineRule="auto"/>
      <w:outlineLvl w:val="2"/>
    </w:pPr>
    <w:rPr>
      <w:rFonts w:cs="Times New Roman"/>
      <w:b/>
      <w:bCs/>
      <w:kern w:val="0"/>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rPr>
      <w:rFonts w:ascii="@微软简标宋" w:hAnsi="@微软简标宋" w:eastAsia="@微软简标宋" w:cs="@微软简标宋"/>
      <w:szCs w:val="24"/>
      <w:lang w:val="zh-CN"/>
    </w:rPr>
  </w:style>
  <w:style w:type="paragraph" w:styleId="6">
    <w:name w:val="toa heading"/>
    <w:basedOn w:val="1"/>
    <w:next w:val="1"/>
    <w:qFormat/>
    <w:uiPriority w:val="0"/>
    <w:pPr>
      <w:autoSpaceDE w:val="0"/>
      <w:autoSpaceDN w:val="0"/>
      <w:adjustRightInd w:val="0"/>
      <w:spacing w:before="120"/>
    </w:pPr>
    <w:rPr>
      <w:rFonts w:ascii="Arial" w:hAnsi="Arial" w:eastAsia="宋体" w:cs="Times New Roman"/>
      <w:sz w:val="24"/>
    </w:rPr>
  </w:style>
  <w:style w:type="paragraph" w:styleId="7">
    <w:name w:val="annotation text"/>
    <w:basedOn w:val="1"/>
    <w:link w:val="25"/>
    <w:qFormat/>
    <w:uiPriority w:val="0"/>
    <w:pPr>
      <w:jc w:val="left"/>
    </w:pPr>
    <w:rPr>
      <w:rFonts w:ascii="Times New Roman" w:hAnsi="Times New Roman" w:eastAsia="宋体" w:cs="Times New Roman"/>
      <w:szCs w:val="24"/>
    </w:rPr>
  </w:style>
  <w:style w:type="paragraph" w:styleId="8">
    <w:name w:val="Body Text Indent"/>
    <w:basedOn w:val="1"/>
    <w:next w:val="9"/>
    <w:qFormat/>
    <w:uiPriority w:val="0"/>
    <w:pPr>
      <w:spacing w:after="120"/>
      <w:ind w:left="420" w:leftChars="200"/>
    </w:pPr>
  </w:style>
  <w:style w:type="paragraph" w:styleId="9">
    <w:name w:val="envelope return"/>
    <w:basedOn w:val="1"/>
    <w:qFormat/>
    <w:uiPriority w:val="99"/>
    <w:pPr>
      <w:snapToGrid w:val="0"/>
    </w:pPr>
    <w:rPr>
      <w:rFonts w:ascii="Arial" w:hAnsi="Arial" w:cs="Arial"/>
    </w:rPr>
  </w:style>
  <w:style w:type="paragraph" w:styleId="10">
    <w:name w:val="index 4"/>
    <w:basedOn w:val="1"/>
    <w:next w:val="1"/>
    <w:unhideWhenUsed/>
    <w:qFormat/>
    <w:uiPriority w:val="0"/>
    <w:pPr>
      <w:kinsoku w:val="0"/>
      <w:autoSpaceDE w:val="0"/>
      <w:autoSpaceDN w:val="0"/>
      <w:adjustRightInd w:val="0"/>
      <w:snapToGrid w:val="0"/>
      <w:ind w:left="600" w:leftChars="600"/>
      <w:textAlignment w:val="baseline"/>
    </w:pPr>
    <w:rPr>
      <w:rFonts w:ascii="Arial" w:hAnsi="Arial" w:eastAsia="Arial" w:cs="Arial"/>
      <w:snapToGrid w:val="0"/>
      <w:color w:val="000000"/>
      <w:sz w:val="21"/>
      <w:szCs w:val="21"/>
      <w:lang w:val="en-US" w:eastAsia="zh-CN" w:bidi="ar-SA"/>
    </w:rPr>
  </w:style>
  <w:style w:type="paragraph" w:styleId="11">
    <w:name w:val="Plain Text"/>
    <w:basedOn w:val="1"/>
    <w:qFormat/>
    <w:uiPriority w:val="99"/>
    <w:rPr>
      <w:rFonts w:ascii="宋体" w:hAnsi="Courier New" w:eastAsia="宋体" w:cs="Times New Roman"/>
      <w:szCs w:val="22"/>
    </w:rPr>
  </w:style>
  <w:style w:type="paragraph" w:styleId="12">
    <w:name w:val="footer"/>
    <w:basedOn w:val="1"/>
    <w:link w:val="24"/>
    <w:semiHidden/>
    <w:unhideWhenUsed/>
    <w:qFormat/>
    <w:uiPriority w:val="99"/>
    <w:pPr>
      <w:tabs>
        <w:tab w:val="center" w:pos="4153"/>
        <w:tab w:val="right" w:pos="8306"/>
      </w:tabs>
      <w:snapToGrid w:val="0"/>
      <w:jc w:val="left"/>
    </w:pPr>
    <w:rPr>
      <w:sz w:val="18"/>
      <w:szCs w:val="18"/>
    </w:rPr>
  </w:style>
  <w:style w:type="paragraph" w:styleId="13">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List"/>
    <w:basedOn w:val="1"/>
    <w:unhideWhenUsed/>
    <w:qFormat/>
    <w:uiPriority w:val="99"/>
    <w:pPr>
      <w:ind w:left="200" w:hanging="200" w:hangingChars="200"/>
      <w:contextualSpacing/>
    </w:pPr>
    <w:rPr>
      <w:rFonts w:ascii="Times New Roman" w:hAnsi="Times New Roman" w:eastAsia="宋体" w:cs="Times New Roman"/>
      <w:szCs w:val="24"/>
    </w:rPr>
  </w:style>
  <w:style w:type="paragraph" w:styleId="15">
    <w:name w:val="Normal (Web)"/>
    <w:basedOn w:val="1"/>
    <w:unhideWhenUsed/>
    <w:qFormat/>
    <w:uiPriority w:val="99"/>
    <w:pPr>
      <w:spacing w:before="100" w:beforeAutospacing="1" w:after="100" w:afterAutospacing="1"/>
      <w:jc w:val="left"/>
    </w:pPr>
    <w:rPr>
      <w:rFonts w:cs="Times New Roman"/>
      <w:kern w:val="0"/>
      <w:sz w:val="24"/>
    </w:rPr>
  </w:style>
  <w:style w:type="paragraph" w:styleId="16">
    <w:name w:val="Body Text First Indent"/>
    <w:basedOn w:val="2"/>
    <w:unhideWhenUsed/>
    <w:qFormat/>
    <w:uiPriority w:val="99"/>
    <w:pPr>
      <w:ind w:firstLine="420" w:firstLineChars="100"/>
    </w:pPr>
  </w:style>
  <w:style w:type="paragraph" w:styleId="17">
    <w:name w:val="Body Text First Indent 2"/>
    <w:basedOn w:val="8"/>
    <w:next w:val="14"/>
    <w:unhideWhenUsed/>
    <w:qFormat/>
    <w:uiPriority w:val="99"/>
    <w:pPr>
      <w:ind w:left="420" w:firstLine="420" w:firstLineChars="200"/>
    </w:pPr>
    <w:rPr>
      <w:rFonts w:ascii="Times New Roman" w:cs="Times New Roman"/>
    </w:rPr>
  </w:style>
  <w:style w:type="table" w:styleId="19">
    <w:name w:val="Table Grid"/>
    <w:basedOn w:val="18"/>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qFormat/>
    <w:uiPriority w:val="0"/>
    <w:rPr>
      <w:b/>
      <w:bCs/>
    </w:rPr>
  </w:style>
  <w:style w:type="character" w:styleId="22">
    <w:name w:val="annotation reference"/>
    <w:unhideWhenUsed/>
    <w:qFormat/>
    <w:uiPriority w:val="99"/>
    <w:rPr>
      <w:sz w:val="21"/>
      <w:szCs w:val="21"/>
    </w:rPr>
  </w:style>
  <w:style w:type="character" w:customStyle="1" w:styleId="23">
    <w:name w:val="页眉 Char"/>
    <w:basedOn w:val="20"/>
    <w:link w:val="13"/>
    <w:semiHidden/>
    <w:qFormat/>
    <w:uiPriority w:val="99"/>
    <w:rPr>
      <w:sz w:val="18"/>
      <w:szCs w:val="18"/>
    </w:rPr>
  </w:style>
  <w:style w:type="character" w:customStyle="1" w:styleId="24">
    <w:name w:val="页脚 Char"/>
    <w:basedOn w:val="20"/>
    <w:link w:val="12"/>
    <w:semiHidden/>
    <w:qFormat/>
    <w:uiPriority w:val="99"/>
    <w:rPr>
      <w:sz w:val="18"/>
      <w:szCs w:val="18"/>
    </w:rPr>
  </w:style>
  <w:style w:type="character" w:customStyle="1" w:styleId="25">
    <w:name w:val="批注文字 Char"/>
    <w:basedOn w:val="20"/>
    <w:link w:val="7"/>
    <w:qFormat/>
    <w:uiPriority w:val="0"/>
    <w:rPr>
      <w:rFonts w:ascii="Times New Roman" w:hAnsi="Times New Roman" w:eastAsia="宋体" w:cs="Times New Roman"/>
      <w:szCs w:val="24"/>
    </w:rPr>
  </w:style>
  <w:style w:type="paragraph" w:customStyle="1" w:styleId="26">
    <w:name w:val="D&amp;L"/>
    <w:basedOn w:val="13"/>
    <w:qFormat/>
    <w:uiPriority w:val="0"/>
    <w:pPr>
      <w:pBdr>
        <w:bottom w:val="none" w:color="auto" w:sz="0" w:space="0"/>
      </w:pBdr>
      <w:snapToGrid/>
    </w:pPr>
    <w:rPr>
      <w:rFonts w:ascii="等线" w:hAnsi="等线" w:eastAsia="等线"/>
      <w:bCs/>
      <w:sz w:val="24"/>
      <w:szCs w:val="20"/>
    </w:rPr>
  </w:style>
  <w:style w:type="paragraph" w:customStyle="1" w:styleId="27">
    <w:name w:val="xl31"/>
    <w:basedOn w:val="1"/>
    <w:qFormat/>
    <w:uiPriority w:val="99"/>
    <w:pPr>
      <w:spacing w:line="360" w:lineRule="auto"/>
    </w:pPr>
    <w:rPr>
      <w:rFonts w:ascii="等线" w:hAnsi="等线" w:eastAsia="等线"/>
      <w:kern w:val="0"/>
      <w:sz w:val="24"/>
      <w:szCs w:val="28"/>
    </w:rPr>
  </w:style>
  <w:style w:type="character" w:customStyle="1" w:styleId="28">
    <w:name w:val="font11"/>
    <w:basedOn w:val="20"/>
    <w:qFormat/>
    <w:uiPriority w:val="0"/>
    <w:rPr>
      <w:rFonts w:hint="eastAsia" w:ascii="等线" w:hAnsi="等线" w:eastAsia="等线" w:cs="等线"/>
      <w:color w:val="000000"/>
      <w:sz w:val="20"/>
      <w:szCs w:val="20"/>
      <w:u w:val="none"/>
    </w:rPr>
  </w:style>
  <w:style w:type="paragraph" w:customStyle="1" w:styleId="29">
    <w:name w:val="Table Text"/>
    <w:basedOn w:val="1"/>
    <w:semiHidden/>
    <w:qFormat/>
    <w:uiPriority w:val="0"/>
    <w:rPr>
      <w:rFonts w:ascii="宋体" w:hAnsi="宋体" w:eastAsia="宋体" w:cs="宋体"/>
      <w:sz w:val="24"/>
      <w:szCs w:val="24"/>
      <w:lang w:val="en-US" w:eastAsia="en-US" w:bidi="ar-SA"/>
    </w:rPr>
  </w:style>
  <w:style w:type="paragraph" w:customStyle="1" w:styleId="30">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1">
    <w:name w:val="正文正"/>
    <w:basedOn w:val="1"/>
    <w:qFormat/>
    <w:uiPriority w:val="0"/>
    <w:pPr>
      <w:spacing w:line="560" w:lineRule="exact"/>
      <w:ind w:firstLine="561"/>
    </w:pPr>
    <w:rPr>
      <w:rFonts w:ascii="Times New Roman" w:hAnsi="Times New Roman" w:eastAsia="仿宋_GB2312" w:cs="Times New Roman"/>
      <w:sz w:val="28"/>
      <w:szCs w:val="24"/>
    </w:rPr>
  </w:style>
  <w:style w:type="paragraph" w:customStyle="1" w:styleId="32">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table" w:customStyle="1" w:styleId="33">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1343</Words>
  <Characters>1369</Characters>
  <Lines>10</Lines>
  <Paragraphs>3</Paragraphs>
  <TotalTime>6</TotalTime>
  <ScaleCrop>false</ScaleCrop>
  <LinksUpToDate>false</LinksUpToDate>
  <CharactersWithSpaces>1370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2022-05-12T08:44:00Z</dcterms:created>
  <dc:creator>初审-秦帅</dc:creator>
  <cp:lastModifiedBy>楠楠</cp:lastModifiedBy>
  <dcterms:modified xsi:type="dcterms:W3CDTF">2026-06-23T07:51:12Z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41F1DFE3E1B34FBB80682DA0A886D23F_13</vt:lpwstr>
  </property>
  <property fmtid="{D5CDD505-2E9C-101B-9397-08002B2CF9AE}" pid="4" name="KSOTemplateDocerSaveRecord">
    <vt:lpwstr>eyJoZGlkIjoiMzM5MDExNzg3YWI4YWRlOGMzYTQyY2U3YmE5ZGFjZDIiLCJ1c2VySWQiOiI1MjA1Njc4NTEifQ==</vt:lpwstr>
  </property>
</Properties>
</file>