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B9A0D0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ascii="Times New Roman" w:hAnsi="Times New Roman" w:eastAsia="宋体" w:cs="Times New Roman"/>
          <w:bCs/>
          <w:color w:val="auto"/>
          <w:sz w:val="32"/>
          <w:szCs w:val="32"/>
          <w:highlight w:val="none"/>
        </w:rPr>
      </w:pPr>
      <w:r>
        <w:rPr>
          <w:rFonts w:ascii="Times New Roman" w:hAnsi="Times New Roman" w:eastAsia="宋体" w:cs="Times New Roman"/>
          <w:bCs/>
          <w:color w:val="auto"/>
          <w:sz w:val="32"/>
          <w:szCs w:val="32"/>
          <w:highlight w:val="none"/>
        </w:rPr>
        <w:t>一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  <w:lang w:val="en-US" w:eastAsia="zh-CN"/>
        </w:rPr>
        <w:t>项目需求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</w:rPr>
        <w:t>前附表</w:t>
      </w:r>
    </w:p>
    <w:tbl>
      <w:tblPr>
        <w:tblStyle w:val="11"/>
        <w:tblW w:w="585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0"/>
        <w:gridCol w:w="7753"/>
      </w:tblGrid>
      <w:tr w14:paraId="14CE9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347" w:type="pct"/>
            <w:vAlign w:val="center"/>
          </w:tcPr>
          <w:p w14:paraId="5963BB46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项目名称</w:t>
            </w:r>
          </w:p>
        </w:tc>
        <w:tc>
          <w:tcPr>
            <w:tcW w:w="3652" w:type="pct"/>
            <w:vAlign w:val="center"/>
          </w:tcPr>
          <w:p w14:paraId="3DC39735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长江流域水生生物资源监测安徽站建设设备采购项目</w:t>
            </w:r>
          </w:p>
        </w:tc>
      </w:tr>
      <w:tr w14:paraId="79506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347" w:type="pct"/>
            <w:vAlign w:val="center"/>
          </w:tcPr>
          <w:p w14:paraId="6F139570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项目预算</w:t>
            </w:r>
          </w:p>
        </w:tc>
        <w:tc>
          <w:tcPr>
            <w:tcW w:w="3652" w:type="pct"/>
            <w:vAlign w:val="center"/>
          </w:tcPr>
          <w:p w14:paraId="49774F9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65.1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  <w:t>万元</w:t>
            </w:r>
          </w:p>
        </w:tc>
      </w:tr>
      <w:tr w14:paraId="1F9FE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347" w:type="pct"/>
            <w:vAlign w:val="center"/>
          </w:tcPr>
          <w:p w14:paraId="16F1E1F4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项目概况</w:t>
            </w:r>
          </w:p>
        </w:tc>
        <w:tc>
          <w:tcPr>
            <w:tcW w:w="3652" w:type="pct"/>
            <w:vAlign w:val="center"/>
          </w:tcPr>
          <w:p w14:paraId="25C2289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详见采购需求</w:t>
            </w:r>
          </w:p>
        </w:tc>
      </w:tr>
      <w:tr w14:paraId="6477F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347" w:type="pct"/>
            <w:vAlign w:val="center"/>
          </w:tcPr>
          <w:p w14:paraId="3382734A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采购方式</w:t>
            </w:r>
          </w:p>
        </w:tc>
        <w:tc>
          <w:tcPr>
            <w:tcW w:w="3652" w:type="pct"/>
            <w:vAlign w:val="center"/>
          </w:tcPr>
          <w:p w14:paraId="0B2E1FF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  <w:t>公开招标</w:t>
            </w:r>
          </w:p>
        </w:tc>
      </w:tr>
      <w:tr w14:paraId="02299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347" w:type="pct"/>
            <w:vAlign w:val="center"/>
          </w:tcPr>
          <w:p w14:paraId="5A8A42A8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包别划分</w:t>
            </w:r>
          </w:p>
        </w:tc>
        <w:tc>
          <w:tcPr>
            <w:tcW w:w="3652" w:type="pct"/>
            <w:vAlign w:val="center"/>
          </w:tcPr>
          <w:p w14:paraId="5F4DC104">
            <w:pPr>
              <w:autoSpaceDE w:val="0"/>
              <w:autoSpaceDN w:val="0"/>
              <w:adjustRightInd w:val="0"/>
              <w:spacing w:line="360" w:lineRule="auto"/>
              <w:rPr>
                <w:rFonts w:hint="default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本次采购第3包</w:t>
            </w:r>
          </w:p>
        </w:tc>
      </w:tr>
      <w:tr w14:paraId="0FD05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4" w:hRule="atLeast"/>
          <w:jc w:val="center"/>
        </w:trPr>
        <w:tc>
          <w:tcPr>
            <w:tcW w:w="1347" w:type="pct"/>
            <w:vAlign w:val="center"/>
          </w:tcPr>
          <w:p w14:paraId="398D1503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投标人资格要求</w:t>
            </w:r>
          </w:p>
        </w:tc>
        <w:tc>
          <w:tcPr>
            <w:tcW w:w="3652" w:type="pct"/>
            <w:vAlign w:val="center"/>
          </w:tcPr>
          <w:p w14:paraId="60FE806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1.满足《中华人民共和国政府采购法》第二十二条规定。</w:t>
            </w:r>
          </w:p>
          <w:p w14:paraId="2C6C6C1D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2.落实政府采购政策需满足的资格要求：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本项目第3包</w:t>
            </w:r>
            <w:bookmarkStart w:id="8" w:name="_GoBack"/>
            <w:bookmarkEnd w:id="8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专门面向中小企业采购，投标人提供的货物全部由符合政策要求的中小企业制造。</w:t>
            </w:r>
          </w:p>
          <w:p w14:paraId="5C48C38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3.本项目的特定资格要求：无。</w:t>
            </w:r>
          </w:p>
          <w:p w14:paraId="4E76B36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4.信誉要求：截至提交投标文件截止时间，投标人（含其不具有独立法人资格的分支机构）存在下列有效情形之一的，其投标文件按无效处理。</w:t>
            </w:r>
          </w:p>
          <w:p w14:paraId="42AB86D6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（1）被人民法院列入失信被执行人名单的；</w:t>
            </w:r>
          </w:p>
          <w:p w14:paraId="201CDF1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（2）被税务机关列入重大税收违法失信主体的；</w:t>
            </w:r>
          </w:p>
          <w:p w14:paraId="37B39369">
            <w:pPr>
              <w:spacing w:line="360" w:lineRule="auto"/>
              <w:rPr>
                <w:rFonts w:ascii="宋体" w:hAnsi="宋体" w:eastAsia="宋体" w:cs="Times New Roman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（3）被财政部门列入政府采购严重违法失信名单的。</w:t>
            </w:r>
          </w:p>
        </w:tc>
      </w:tr>
      <w:tr w14:paraId="5B55B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347" w:type="pct"/>
            <w:vAlign w:val="center"/>
          </w:tcPr>
          <w:p w14:paraId="1BF82635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是否专门面向中小企业</w:t>
            </w:r>
          </w:p>
        </w:tc>
        <w:tc>
          <w:tcPr>
            <w:tcW w:w="3652" w:type="pct"/>
            <w:vAlign w:val="center"/>
          </w:tcPr>
          <w:p w14:paraId="26BB8648">
            <w:pPr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是</w:t>
            </w:r>
          </w:p>
        </w:tc>
      </w:tr>
      <w:tr w14:paraId="3DA6D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1347" w:type="pct"/>
            <w:vAlign w:val="center"/>
          </w:tcPr>
          <w:p w14:paraId="481D4E4E"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auto"/>
                <w:sz w:val="24"/>
                <w:szCs w:val="24"/>
                <w:highlight w:val="none"/>
                <w:u w:val="none"/>
              </w:rPr>
              <w:t>是否接受联合体投标</w:t>
            </w:r>
          </w:p>
        </w:tc>
        <w:tc>
          <w:tcPr>
            <w:tcW w:w="3652" w:type="pct"/>
            <w:vAlign w:val="center"/>
          </w:tcPr>
          <w:p w14:paraId="3D368DD9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</w:p>
        </w:tc>
      </w:tr>
    </w:tbl>
    <w:p w14:paraId="1128D41B">
      <w:pPr>
        <w:rPr>
          <w:rFonts w:ascii="华文中宋" w:hAnsi="华文中宋" w:eastAsia="华文中宋" w:cs="Times New Roman"/>
          <w:color w:val="auto"/>
          <w:sz w:val="36"/>
          <w:szCs w:val="36"/>
          <w:highlight w:val="none"/>
        </w:rPr>
      </w:pPr>
    </w:p>
    <w:p w14:paraId="5BCB14FC">
      <w:pPr>
        <w:spacing w:line="20" w:lineRule="exact"/>
        <w:rPr>
          <w:rFonts w:hint="eastAsia" w:cs="Times New Roman" w:asciiTheme="minorEastAsia" w:hAnsiTheme="minorEastAsia" w:eastAsiaTheme="minorEastAsia"/>
          <w:color w:val="auto"/>
          <w:sz w:val="30"/>
          <w:szCs w:val="30"/>
          <w:highlight w:val="none"/>
          <w:lang w:eastAsia="zh-CN"/>
        </w:rPr>
      </w:pPr>
    </w:p>
    <w:p w14:paraId="1E4136B1">
      <w:pPr>
        <w:rPr>
          <w:rFonts w:hint="eastAsia" w:ascii="宋体" w:hAnsi="宋体" w:cs="宋体"/>
          <w:b/>
          <w:bCs/>
          <w:color w:val="auto"/>
          <w:sz w:val="44"/>
          <w:szCs w:val="4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44"/>
          <w:szCs w:val="44"/>
          <w:highlight w:val="none"/>
        </w:rPr>
        <w:br w:type="page"/>
      </w:r>
    </w:p>
    <w:p w14:paraId="161DE645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ascii="Times New Roman" w:hAnsi="Times New Roman" w:eastAsia="宋体" w:cs="Times New Roman"/>
          <w:bCs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Times New Roman" w:hAnsi="Times New Roman" w:eastAsia="宋体" w:cs="Times New Roman"/>
          <w:bCs/>
          <w:color w:val="auto"/>
          <w:sz w:val="32"/>
          <w:szCs w:val="32"/>
          <w:highlight w:val="none"/>
        </w:rPr>
        <w:t>采购需求表（货物类）</w:t>
      </w:r>
    </w:p>
    <w:p w14:paraId="0291CC48">
      <w:pPr>
        <w:spacing w:line="360" w:lineRule="auto"/>
        <w:outlineLvl w:val="0"/>
        <w:rPr>
          <w:color w:val="auto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（一）需求一览表</w:t>
      </w:r>
    </w:p>
    <w:tbl>
      <w:tblPr>
        <w:tblStyle w:val="11"/>
        <w:tblW w:w="92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189"/>
        <w:gridCol w:w="4819"/>
        <w:gridCol w:w="851"/>
        <w:gridCol w:w="850"/>
        <w:gridCol w:w="850"/>
      </w:tblGrid>
      <w:tr w14:paraId="20C71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shd w:val="clear" w:color="auto" w:fill="auto"/>
            <w:noWrap w:val="0"/>
            <w:vAlign w:val="center"/>
          </w:tcPr>
          <w:p w14:paraId="6F309C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kern w:val="2"/>
                <w:sz w:val="21"/>
                <w:szCs w:val="21"/>
                <w:lang w:val="en-US" w:eastAsia="zh-CN" w:bidi="ar-SA"/>
              </w:rPr>
            </w:pPr>
            <w:bookmarkStart w:id="0" w:name="_Toc1061105159_WPSOffice_Level2"/>
            <w:bookmarkStart w:id="1" w:name="_Toc13384869"/>
            <w:bookmarkStart w:id="2" w:name="_Toc1814319857"/>
            <w:bookmarkStart w:id="3" w:name="_Toc1900587714"/>
            <w:bookmarkStart w:id="4" w:name="_Toc49042126"/>
            <w:bookmarkStart w:id="5" w:name="_Toc1101062245"/>
            <w:bookmarkStart w:id="6" w:name="_Toc1520309192"/>
            <w:bookmarkStart w:id="7" w:name="_Toc902728931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189" w:type="dxa"/>
            <w:noWrap w:val="0"/>
            <w:vAlign w:val="center"/>
          </w:tcPr>
          <w:p w14:paraId="01445D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货物名称</w:t>
            </w:r>
          </w:p>
        </w:tc>
        <w:tc>
          <w:tcPr>
            <w:tcW w:w="4819" w:type="dxa"/>
            <w:noWrap w:val="0"/>
            <w:vAlign w:val="center"/>
          </w:tcPr>
          <w:p w14:paraId="7E34EC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技术参数及要求</w:t>
            </w:r>
          </w:p>
        </w:tc>
        <w:tc>
          <w:tcPr>
            <w:tcW w:w="851" w:type="dxa"/>
            <w:noWrap w:val="0"/>
            <w:vAlign w:val="center"/>
          </w:tcPr>
          <w:p w14:paraId="648B2D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850" w:type="dxa"/>
            <w:noWrap w:val="0"/>
            <w:vAlign w:val="center"/>
          </w:tcPr>
          <w:p w14:paraId="40BC9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所属行业</w:t>
            </w:r>
          </w:p>
        </w:tc>
        <w:tc>
          <w:tcPr>
            <w:tcW w:w="850" w:type="dxa"/>
            <w:noWrap w:val="0"/>
            <w:vAlign w:val="center"/>
          </w:tcPr>
          <w:p w14:paraId="362009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  <w:t>备注（进口或强制节能）</w:t>
            </w:r>
          </w:p>
        </w:tc>
      </w:tr>
      <w:tr w14:paraId="535A7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6A9566C3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6CC73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UPS不间断电源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483E4F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after="0" w:line="30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1.容量：6000VA/4800W</w:t>
            </w:r>
          </w:p>
          <w:p w14:paraId="227F70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after="0" w:line="300" w:lineRule="auto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2.输入电压：110-300VAC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3延时范围：外置电池2小时后备供电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4632E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noWrap w:val="0"/>
            <w:vAlign w:val="center"/>
          </w:tcPr>
          <w:p w14:paraId="711F4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281D80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6CE11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3870DB30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61B1F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纯水仪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3CF3794B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出水水质：可同时制取RO纯水和UP超纯水；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2.制水量: ≥20升/小时（水温25℃时）；</w:t>
            </w:r>
          </w:p>
          <w:p w14:paraId="3F1185F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3.第一出水(RO纯水) (在线监测)电导率:≤5 µS/cm（符合国标GB/T6682-2008 三级水）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4.第二出水(UP超纯水)(在线监测)电阻率：≥             18.2MΩ.cm（符合国标GB/T6682-2008 一级水）。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5.取水流速： RO水≥1L/Min；UP水≥1.0L/Min.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6.系统开机自检RO反渗透膜自动冲洗；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7.超化系统：具有UP超纯水系统内循环功能和超纯化柱自动清洗功能；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458E3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5556D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55343F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1A8AA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39261945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2471C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便携式水质测定仪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42CC504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1.配备温度、溶解氧、pH、电导率、氧化还原电位探头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2.主机、电缆、探头三体分离：同一主机可配不同长度、不同参数接口的电缆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3.电池仓与仪器电路仓各自独立分隔并密封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4.溶解氧（极谱法或原电池法，毫克/升）</w:t>
            </w:r>
          </w:p>
          <w:p w14:paraId="46C373E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4.1测量范围不低于：0~30 mg/L；</w:t>
            </w:r>
          </w:p>
          <w:p w14:paraId="74546B6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4.2准确度：0~20mg/L: 读数值±0.2 mg/L或2% (以较大值为准)，20~30mg/L: 读数值±6%；</w:t>
            </w:r>
          </w:p>
          <w:p w14:paraId="421AD6E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5.温度测量范围不低于：0~50℃；</w:t>
            </w:r>
          </w:p>
          <w:p w14:paraId="38FE9D7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5.1准确度：±0.2℃；</w:t>
            </w:r>
          </w:p>
          <w:p w14:paraId="713CEBD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5.2分辨率：0.1℃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6.电导率测量范围不低于：0~200mS/cm，准确度：读数的±0.5%或0.001mS/cm, 以较大值为准；分辨率：0.001~0.1mS/cm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8. pH测量范围不低于：0~14；</w:t>
            </w:r>
          </w:p>
          <w:p w14:paraId="782B4BB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8.1准确度：±0.2；</w:t>
            </w:r>
          </w:p>
          <w:p w14:paraId="23DEFF9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8.2分辨率：0.01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9.氧化还原电位测量范围不低于：-1999~1999mV；</w:t>
            </w:r>
          </w:p>
          <w:p w14:paraId="1F2BF6D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9.1准确度：±0.2 mV；</w:t>
            </w:r>
          </w:p>
          <w:p w14:paraId="72D6C4C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zh-CN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9.2分辨率：0.1mV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70C4F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08BDF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18C02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3809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5A5FBEBE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18680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生物安全柜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2CDF6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1.气流模式：30%外排，70%循环；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2.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HEPA或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ULPA超高效空气过滤器，针对颗粒直径≥0.12um，过滤效率≥99.9%；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3. 前窗采用手动升降方式，具有安全高度限位声光报警功能；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4.安全性能保障：具备紫外系统、荧光灯、前窗的连锁系统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5.移动可调支架，工作区内部工作尺寸宽度要求≥1300mm。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322BD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11E9B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3D7D8C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08080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49467796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17724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普通生物显微镜（1）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050C53C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1、目镜参数：</w:t>
            </w:r>
          </w:p>
          <w:p w14:paraId="2F1A1107">
            <w:pPr>
              <w:keepNext w:val="0"/>
              <w:keepLines w:val="0"/>
              <w:pageBreakBefore w:val="0"/>
              <w:widowControl/>
              <w:numPr>
                <w:ilvl w:val="1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铰链式三目观察头</w:t>
            </w:r>
          </w:p>
          <w:p w14:paraId="0A037029">
            <w:pPr>
              <w:keepNext w:val="0"/>
              <w:keepLines w:val="0"/>
              <w:pageBreakBefore w:val="0"/>
              <w:widowControl/>
              <w:numPr>
                <w:ilvl w:val="1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瞳距调节：50mm-75mm</w:t>
            </w:r>
          </w:p>
          <w:p w14:paraId="4146E5AE">
            <w:pPr>
              <w:keepNext w:val="0"/>
              <w:keepLines w:val="0"/>
              <w:pageBreakBefore w:val="0"/>
              <w:widowControl/>
              <w:numPr>
                <w:ilvl w:val="1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1.3 大视野平场目镜不小于PL10X/18mm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2、配备平场消色差物镜 4X 10X 40X 100X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3、观察方式：具备试样在透射情况下的明场观察方式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4、含拍照和显示屏，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有效像素不低于1600万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1D034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noWrap w:val="0"/>
            <w:vAlign w:val="center"/>
          </w:tcPr>
          <w:p w14:paraId="15BE9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2876FD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199F1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433B3E18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142E80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普通生物显微镜（2）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6B144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1、物镜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放大倍数：4X 、10X 、40X 、100X（油）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2、配备10X 目镜、16X 目镜各 1 对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3、总放大倍数：40X-1600X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4、内置式可调光源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5、提供物镜用浸油（合成油）1瓶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78ADA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noWrap w:val="0"/>
            <w:vAlign w:val="center"/>
          </w:tcPr>
          <w:p w14:paraId="5E455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27BED0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0F4A8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5E941502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00397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高质量生物显微镜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5DFBC2FE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镜筒：铰链式三目观察头；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2、大视野平场目镜不小于PL10X/20mm；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3、无限远平场消色差物镜:4 ×、10×、40×、100×(S)Oi；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4、总放大倍率：40× ~ 1000×；</w:t>
            </w:r>
          </w:p>
          <w:p w14:paraId="31F2134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、调焦机构：粗调行程不低于25mm，微调精度不低于0.002mm，带有防止下滑的调节松紧装置和随机上限位装置；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6、内置式可调光源；</w:t>
            </w:r>
          </w:p>
          <w:p w14:paraId="1A4F269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7、配备拍照处理终端1套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配备专业拍摄系统，I5-13500/16G DDR4/512G SSD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，输出设备1台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4DE02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850" w:type="dxa"/>
            <w:noWrap w:val="0"/>
            <w:vAlign w:val="center"/>
          </w:tcPr>
          <w:p w14:paraId="20F6D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7D84E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49A8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25" w:type="dxa"/>
            <w:noWrap w:val="0"/>
            <w:vAlign w:val="center"/>
          </w:tcPr>
          <w:p w14:paraId="04C1A1C3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1189" w:type="dxa"/>
            <w:shd w:val="clear" w:color="auto" w:fill="auto"/>
            <w:noWrap w:val="0"/>
            <w:vAlign w:val="center"/>
          </w:tcPr>
          <w:p w14:paraId="62C90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冰箱</w:t>
            </w:r>
          </w:p>
        </w:tc>
        <w:tc>
          <w:tcPr>
            <w:tcW w:w="4819" w:type="dxa"/>
            <w:shd w:val="clear" w:color="auto" w:fill="auto"/>
            <w:noWrap w:val="0"/>
            <w:vAlign w:val="center"/>
          </w:tcPr>
          <w:p w14:paraId="60D567A6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总容积≥400L，冷冻室容积≥120L，</w:t>
            </w:r>
          </w:p>
          <w:p w14:paraId="3611B8C7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一级效能，额定电压220V，十字门，冷冻室冷冻能力≥5kg/12h</w:t>
            </w:r>
          </w:p>
        </w:tc>
        <w:tc>
          <w:tcPr>
            <w:tcW w:w="851" w:type="dxa"/>
            <w:shd w:val="clear" w:color="auto" w:fill="auto"/>
            <w:noWrap w:val="0"/>
            <w:vAlign w:val="center"/>
          </w:tcPr>
          <w:p w14:paraId="23D69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850" w:type="dxa"/>
            <w:noWrap w:val="0"/>
            <w:vAlign w:val="center"/>
          </w:tcPr>
          <w:p w14:paraId="7475A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noWrap w:val="0"/>
            <w:vAlign w:val="center"/>
          </w:tcPr>
          <w:p w14:paraId="542FFD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tr w14:paraId="64A93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9AE1FED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EE92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冰柜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30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容积≥600L，-38℃，冷冻能力≥25kg/12h，额定电压220V，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2B1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850" w:type="dxa"/>
            <w:vAlign w:val="center"/>
          </w:tcPr>
          <w:p w14:paraId="0C5D0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20D312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41329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10092FC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5DF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立式冷藏柜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FF3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容积≥500L，一级效能，侧开门，多层送风，均匀制冷，带脚轮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B3E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850" w:type="dxa"/>
            <w:vAlign w:val="center"/>
          </w:tcPr>
          <w:p w14:paraId="6266A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7C69C0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77A40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4C205D2E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D4DF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分析天平1</w:t>
            </w:r>
          </w:p>
          <w:p w14:paraId="3122E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FE0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1.最大称量值：≥100g；</w:t>
            </w:r>
          </w:p>
          <w:p w14:paraId="38E7A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2.可读性：0.1mg；</w:t>
            </w:r>
          </w:p>
          <w:p w14:paraId="793F3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3.重复性：0.08mg；</w:t>
            </w:r>
          </w:p>
          <w:p w14:paraId="1D2F7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4.线性误差：0.06mg；</w:t>
            </w:r>
          </w:p>
          <w:p w14:paraId="03193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5.灵敏度偏移（标称加载下）: 0.8mg；</w:t>
            </w:r>
          </w:p>
          <w:p w14:paraId="2A814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6.最小称量值（USP，允差 = 0.10%）：160mg；</w:t>
            </w:r>
          </w:p>
          <w:p w14:paraId="7DB07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7.金属底座和具有耐化学及酸碱腐蚀性外壳材料；</w:t>
            </w:r>
          </w:p>
          <w:p w14:paraId="0945E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8.具备内部校正功能，内置砝码校正功能。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04A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09E81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3F6532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425DA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3ABD3DFA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9B0C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分析天平2</w:t>
            </w:r>
          </w:p>
          <w:p w14:paraId="138967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9DFA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1.最大称量值：≥50g</w:t>
            </w:r>
          </w:p>
          <w:p w14:paraId="443D1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2.可读性：0.01mg</w:t>
            </w:r>
          </w:p>
          <w:p w14:paraId="301B0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3.重复性：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≤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0.03mg</w:t>
            </w:r>
          </w:p>
          <w:p w14:paraId="43001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4.线性误差: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≤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0.1mg</w:t>
            </w:r>
          </w:p>
          <w:p w14:paraId="310CB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5.灵敏度偏移（标称加载下）: 0.4mg</w:t>
            </w:r>
          </w:p>
          <w:p w14:paraId="3152D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6.最小称量值（USP，允差 = 0.10%）：30mg</w:t>
            </w:r>
          </w:p>
          <w:p w14:paraId="37BB7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7.金属底座和具有耐化学及酸碱腐蚀性外壳材料</w:t>
            </w:r>
          </w:p>
          <w:p w14:paraId="2819C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8.具备内部校正功能，内置砝码校正功能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2FE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2DFC5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53D68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4598D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62660C3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392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电子天平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ABCCC2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最大称量值：≥600g；，最小称量值：≤0.2g</w:t>
            </w:r>
          </w:p>
          <w:p w14:paraId="277BB74B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精确度：≤0.01g；</w:t>
            </w:r>
          </w:p>
          <w:p w14:paraId="3ACD8E05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可充电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2C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850" w:type="dxa"/>
            <w:vAlign w:val="center"/>
          </w:tcPr>
          <w:p w14:paraId="1670B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583682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01A8C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48B57777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00BC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紫外可见光分光光度计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796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1、仪器特点和功能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1.1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bidi="ar"/>
              </w:rPr>
              <w:t>配备高清智能触摸屏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1.2 样品仓配置自动五联池架，可以适用1-10cm比色皿；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2、仪器技术参数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2.1波长范围：190-1100nm；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2.2光谱带宽：1.8 nm；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2.3波长准确度：±0.3nm；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2.4波长重复性：≤0.2nm；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2.5光度准确度：±0.3%T（0-100%T）；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2.6光度重复性：≤0.1%T(0-100%T)；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2.7杂散光：≤0.03%T；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2.8检测器：硅光二极管；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2.9光源：钨灯、氘灯；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4E5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vAlign w:val="center"/>
          </w:tcPr>
          <w:p w14:paraId="2E209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0ABBB5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F7EB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F6784CC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FA47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单道移液器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D6E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0.1-2.5μL，1-10μL，10-100μL，20-200μL，100-100μL各一支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5F3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vAlign w:val="center"/>
          </w:tcPr>
          <w:p w14:paraId="488C5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299AEE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3664D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730F726F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5C04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高压灭菌锅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34B773"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锅盖启闭装置采用拨杆式多连杆同步伸缩结构</w:t>
            </w:r>
          </w:p>
          <w:p w14:paraId="29A08570"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灭菌锅体采用304及以上不锈钢材质</w:t>
            </w:r>
          </w:p>
          <w:p w14:paraId="67395C0C"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数码液晶窗中文显示运行状态，灭菌结束提醒自动停机</w:t>
            </w:r>
          </w:p>
          <w:p w14:paraId="280C410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4、具备故障自动检测判断系统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5、具备灭菌结束自动排气功能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6、灭菌温度可选设定范围50℃-134℃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7、灭菌时间可调设定范围0-10h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8、具有断水保护防干烧和漏电保护系统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9、具有机械式安全泄压阀和电控式过压保护装置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10、容积：≥75升,电源电压:220V/50Hz；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F8BD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50" w:type="dxa"/>
            <w:vAlign w:val="center"/>
          </w:tcPr>
          <w:p w14:paraId="44EBE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3C6869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2FFBC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423E3197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1366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水浴锅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773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1、双列八孔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2、内胆尺寸：600*290*120 mm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3、控温范围：RT+5-100℃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4、温度波动度：±1℃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43B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850" w:type="dxa"/>
            <w:vAlign w:val="center"/>
          </w:tcPr>
          <w:p w14:paraId="1E994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675F1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50759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0E145255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F180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成品道闸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472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车牌识别率：白天≥99.8%；夜间≥99.6%；</w:t>
            </w:r>
          </w:p>
          <w:p w14:paraId="3AC95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图像分辨率：≥720P CIF4 CIF；防护等级：≥IP66；</w:t>
            </w:r>
          </w:p>
          <w:p w14:paraId="6C072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闸杆尺寸：主杆170mm*55mm*1.8厚，长度约4.5m（现场测量为准） 竖杆60mm*20mm，副杆87mm*44mm；</w:t>
            </w:r>
          </w:p>
          <w:p w14:paraId="74774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走人小门尺寸：1163-1730mm可调节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F2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6A145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59F78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5FAF9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A7BC922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20C2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电子显示屏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531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悬挂式全彩LED屏，尺寸约为2.31米（宽）×1.30米（高），P3：111,100像素/平方米（点间距3mm）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879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4E5D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714EE6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  <w:tr w14:paraId="29671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0" w:type="auto"/>
            <w:vAlign w:val="center"/>
          </w:tcPr>
          <w:p w14:paraId="6D120925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0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5619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监测数据库服务器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3A43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1、CPU：≥10核16线程；基础主频≥2.5GHz,最大睿频≥4.7GHz，三级缓存≥20MB；</w:t>
            </w:r>
          </w:p>
          <w:p w14:paraId="1778FD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2、主板：全固态电容主板，B7系列芯片组或以上；主板内置PCIe插槽数量：≥3个；Debug接口≥1个；</w:t>
            </w:r>
          </w:p>
          <w:p w14:paraId="43FF8D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3、接口：≥9个USBTYPE-A 3.0接口，1个TYPE-C型接口，1个串口，视频接口数量≥3，千兆自适应网卡≥1，前置智能读卡器，前置网络状态指示灯，前置硬件故障指示灯。</w:t>
            </w:r>
          </w:p>
          <w:p w14:paraId="78E9DF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4、存储：≥512GB M.2固态硬盘，≥4TB机械硬盘；</w:t>
            </w:r>
          </w:p>
          <w:p w14:paraId="4259D3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5、内存：≥16GB DDR5 5600MHZ,内存条配置数量（板载内存不涉及）≥4；</w:t>
            </w:r>
          </w:p>
          <w:p w14:paraId="1AD1BC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6、音频接口： ≥5个；</w:t>
            </w:r>
          </w:p>
          <w:p w14:paraId="6F5EF2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7、显卡：独立显卡，内存≥16G，带宽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≥1 TB/s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;</w:t>
            </w:r>
          </w:p>
          <w:p w14:paraId="6878BE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8、电源：额定功率不低于330W，运行电压89V-265V之间可稳定运行；</w:t>
            </w:r>
          </w:p>
          <w:p w14:paraId="62362B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0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9、显示器：≥23.8英寸IPS显示器，分辨率≥1920*1080，刷新率≥120Hz，VGA+HDMI接口；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D75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before="0" w:beforeAutospacing="0" w:after="0" w:afterAutospacing="0" w:line="30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50" w:type="dxa"/>
            <w:vAlign w:val="center"/>
          </w:tcPr>
          <w:p w14:paraId="0E482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850" w:type="dxa"/>
            <w:vAlign w:val="center"/>
          </w:tcPr>
          <w:p w14:paraId="104F7C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/</w:t>
            </w:r>
          </w:p>
        </w:tc>
      </w:tr>
    </w:tbl>
    <w:p w14:paraId="15B0539E">
      <w:pP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</w:p>
    <w:p w14:paraId="384E728F">
      <w:pP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三、报价要求</w:t>
      </w:r>
    </w:p>
    <w:p w14:paraId="78BBF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本项目报投标总价，投标人的报价包含但不限于材料、安装、运输劳务、利润、税金、政策性文件规定及合同包含的所有风险、责任、义务等，即为完成招标文件要求的供货内容所包含的一切应有费用，投标人自行考虑投标风险。</w:t>
      </w:r>
    </w:p>
    <w:p w14:paraId="1625708E">
      <w:pPr>
        <w:rPr>
          <w:color w:val="auto"/>
          <w:highlight w:val="none"/>
        </w:rPr>
      </w:pPr>
    </w:p>
    <w:sectPr>
      <w:headerReference r:id="rId3" w:type="default"/>
      <w:footerReference r:id="rId4" w:type="default"/>
      <w:pgSz w:w="11906" w:h="16838"/>
      <w:pgMar w:top="2041" w:right="1531" w:bottom="2041" w:left="1531" w:header="851" w:footer="1134" w:gutter="0"/>
      <w:cols w:space="425" w:num="1"/>
      <w:docGrid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15D8381-D3C2-4A1C-AED9-CD879E894C2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628DBB88-9407-4B12-879D-73A030DCDE2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EndPr>
      <w:rPr>
        <w:rFonts w:ascii="宋体" w:hAnsi="宋体" w:eastAsia="宋体"/>
        <w:sz w:val="28"/>
        <w:szCs w:val="28"/>
      </w:rPr>
    </w:sdtEndPr>
    <w:sdtContent>
      <w:p w14:paraId="50202313">
        <w:pPr>
          <w:pStyle w:val="6"/>
          <w:jc w:val="center"/>
          <w:rPr>
            <w:rFonts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t xml:space="preserve">-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14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ascii="宋体" w:hAnsi="宋体" w:eastAsia="宋体"/>
            <w:sz w:val="28"/>
            <w:szCs w:val="28"/>
          </w:rPr>
          <w:t xml:space="preserve"> -</w:t>
        </w:r>
      </w:p>
    </w:sdtContent>
  </w:sdt>
  <w:p w14:paraId="4E44887A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654317">
    <w:pPr>
      <w:pStyle w:val="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CB4C65"/>
    <w:multiLevelType w:val="multilevel"/>
    <w:tmpl w:val="92CB4C6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  <w:lvl w:ilvl="1" w:tentative="0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9E66CE58"/>
    <w:multiLevelType w:val="singleLevel"/>
    <w:tmpl w:val="9E66CE58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9CD22C9"/>
    <w:multiLevelType w:val="singleLevel"/>
    <w:tmpl w:val="A9CD22C9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abstractNum w:abstractNumId="3">
    <w:nsid w:val="17B133E8"/>
    <w:multiLevelType w:val="singleLevel"/>
    <w:tmpl w:val="17B133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3D812642"/>
    <w:multiLevelType w:val="singleLevel"/>
    <w:tmpl w:val="3D81264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62B2E71D"/>
    <w:multiLevelType w:val="singleLevel"/>
    <w:tmpl w:val="62B2E7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C902F9"/>
    <w:rsid w:val="010F4D4C"/>
    <w:rsid w:val="01177617"/>
    <w:rsid w:val="0120273C"/>
    <w:rsid w:val="02467A44"/>
    <w:rsid w:val="02B2654C"/>
    <w:rsid w:val="040C2A1E"/>
    <w:rsid w:val="06D373CC"/>
    <w:rsid w:val="07464042"/>
    <w:rsid w:val="08476CF7"/>
    <w:rsid w:val="093A28C5"/>
    <w:rsid w:val="093A5001"/>
    <w:rsid w:val="09964200"/>
    <w:rsid w:val="0B4DC30B"/>
    <w:rsid w:val="0C323D10"/>
    <w:rsid w:val="0D9B1464"/>
    <w:rsid w:val="0E223235"/>
    <w:rsid w:val="0F4F133F"/>
    <w:rsid w:val="0F657030"/>
    <w:rsid w:val="10577D87"/>
    <w:rsid w:val="1187410B"/>
    <w:rsid w:val="151A35DC"/>
    <w:rsid w:val="15CD7F7E"/>
    <w:rsid w:val="17A66563"/>
    <w:rsid w:val="17AD7570"/>
    <w:rsid w:val="18E11E1D"/>
    <w:rsid w:val="1E552528"/>
    <w:rsid w:val="1F5A0233"/>
    <w:rsid w:val="1FD516E8"/>
    <w:rsid w:val="1FDB296A"/>
    <w:rsid w:val="21042B4C"/>
    <w:rsid w:val="211F34E2"/>
    <w:rsid w:val="214116AB"/>
    <w:rsid w:val="21FF03DD"/>
    <w:rsid w:val="22022489"/>
    <w:rsid w:val="221D5D2C"/>
    <w:rsid w:val="22356D36"/>
    <w:rsid w:val="253B28B5"/>
    <w:rsid w:val="25567C56"/>
    <w:rsid w:val="263833F3"/>
    <w:rsid w:val="2654110B"/>
    <w:rsid w:val="27242053"/>
    <w:rsid w:val="287560DE"/>
    <w:rsid w:val="289E73E3"/>
    <w:rsid w:val="28D63020"/>
    <w:rsid w:val="290C07F0"/>
    <w:rsid w:val="29C93E5B"/>
    <w:rsid w:val="2A0475FF"/>
    <w:rsid w:val="2B2D7144"/>
    <w:rsid w:val="2C11436F"/>
    <w:rsid w:val="2C210A56"/>
    <w:rsid w:val="2C8132A3"/>
    <w:rsid w:val="2D4B38B1"/>
    <w:rsid w:val="2D92282E"/>
    <w:rsid w:val="2E0E500A"/>
    <w:rsid w:val="2EC902F9"/>
    <w:rsid w:val="2EE25A8C"/>
    <w:rsid w:val="2EFE6751"/>
    <w:rsid w:val="2FE100E2"/>
    <w:rsid w:val="30007611"/>
    <w:rsid w:val="31B25CAD"/>
    <w:rsid w:val="338B4C32"/>
    <w:rsid w:val="37B3452D"/>
    <w:rsid w:val="394F0285"/>
    <w:rsid w:val="3A3D0AE3"/>
    <w:rsid w:val="3AB5340F"/>
    <w:rsid w:val="3C21415B"/>
    <w:rsid w:val="3C552056"/>
    <w:rsid w:val="3C6E67A1"/>
    <w:rsid w:val="3D774674"/>
    <w:rsid w:val="3D85696B"/>
    <w:rsid w:val="3EF36F4F"/>
    <w:rsid w:val="3F271716"/>
    <w:rsid w:val="40F25494"/>
    <w:rsid w:val="43D7609B"/>
    <w:rsid w:val="44376E3C"/>
    <w:rsid w:val="44BC0EC5"/>
    <w:rsid w:val="46D9476D"/>
    <w:rsid w:val="47D82566"/>
    <w:rsid w:val="49AF724A"/>
    <w:rsid w:val="4C1707D3"/>
    <w:rsid w:val="4F5E3C3F"/>
    <w:rsid w:val="523E5837"/>
    <w:rsid w:val="525A7F6F"/>
    <w:rsid w:val="554E1413"/>
    <w:rsid w:val="573FB27C"/>
    <w:rsid w:val="57905DB9"/>
    <w:rsid w:val="57A71CB5"/>
    <w:rsid w:val="57D04F5B"/>
    <w:rsid w:val="59BE86E0"/>
    <w:rsid w:val="5A2941DA"/>
    <w:rsid w:val="5A755258"/>
    <w:rsid w:val="5A7B7BA7"/>
    <w:rsid w:val="5C2677D4"/>
    <w:rsid w:val="5CC33572"/>
    <w:rsid w:val="5DE63AFC"/>
    <w:rsid w:val="5E5C0953"/>
    <w:rsid w:val="5F294B2D"/>
    <w:rsid w:val="5FB80F9D"/>
    <w:rsid w:val="60CD433A"/>
    <w:rsid w:val="63BF7C32"/>
    <w:rsid w:val="63C421CF"/>
    <w:rsid w:val="640F607B"/>
    <w:rsid w:val="644D348F"/>
    <w:rsid w:val="6589499B"/>
    <w:rsid w:val="676F196F"/>
    <w:rsid w:val="68F667A8"/>
    <w:rsid w:val="6DD63448"/>
    <w:rsid w:val="6E5252CB"/>
    <w:rsid w:val="6F35349E"/>
    <w:rsid w:val="6F3C211A"/>
    <w:rsid w:val="6F901C7E"/>
    <w:rsid w:val="700E2514"/>
    <w:rsid w:val="70C031D2"/>
    <w:rsid w:val="71355133"/>
    <w:rsid w:val="71F57420"/>
    <w:rsid w:val="721D0945"/>
    <w:rsid w:val="730F7446"/>
    <w:rsid w:val="76DD2EF3"/>
    <w:rsid w:val="772C5186"/>
    <w:rsid w:val="77BD2088"/>
    <w:rsid w:val="780A196C"/>
    <w:rsid w:val="78D30648"/>
    <w:rsid w:val="79D97847"/>
    <w:rsid w:val="79E32474"/>
    <w:rsid w:val="7AA240DD"/>
    <w:rsid w:val="7BC24B9B"/>
    <w:rsid w:val="7C635AEE"/>
    <w:rsid w:val="7DF47D73"/>
    <w:rsid w:val="7E3F7E95"/>
    <w:rsid w:val="7F7F0D55"/>
    <w:rsid w:val="7FBE388E"/>
    <w:rsid w:val="7FD9DE3B"/>
    <w:rsid w:val="7FDFDF22"/>
    <w:rsid w:val="A1D76DEC"/>
    <w:rsid w:val="BFE7780D"/>
    <w:rsid w:val="C76153D1"/>
    <w:rsid w:val="DB7F2026"/>
    <w:rsid w:val="DDF76CAD"/>
    <w:rsid w:val="DEDD6643"/>
    <w:rsid w:val="DFEE8875"/>
    <w:rsid w:val="EBFD9B6A"/>
    <w:rsid w:val="FBFE52E0"/>
    <w:rsid w:val="FCBDB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1"/>
    <w:pPr>
      <w:ind w:left="120" w:firstLine="640"/>
    </w:pPr>
    <w:rPr>
      <w:sz w:val="32"/>
      <w:szCs w:val="32"/>
    </w:rPr>
  </w:style>
  <w:style w:type="paragraph" w:styleId="5">
    <w:name w:val="index 4"/>
    <w:basedOn w:val="1"/>
    <w:next w:val="1"/>
    <w:unhideWhenUsed/>
    <w:qFormat/>
    <w:uiPriority w:val="0"/>
    <w:pPr>
      <w:kinsoku w:val="0"/>
      <w:autoSpaceDE w:val="0"/>
      <w:autoSpaceDN w:val="0"/>
      <w:adjustRightInd w:val="0"/>
      <w:snapToGrid w:val="0"/>
      <w:ind w:left="600" w:leftChars="60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2"/>
    <w:basedOn w:val="1"/>
    <w:qFormat/>
    <w:uiPriority w:val="0"/>
    <w:pPr>
      <w:spacing w:after="120" w:line="480" w:lineRule="auto"/>
    </w:pPr>
  </w:style>
  <w:style w:type="paragraph" w:styleId="9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4"/>
    <w:unhideWhenUsed/>
    <w:qFormat/>
    <w:uiPriority w:val="99"/>
    <w:pPr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  <w:bCs/>
    </w:rPr>
  </w:style>
  <w:style w:type="character" w:styleId="15">
    <w:name w:val="FollowedHyperlink"/>
    <w:basedOn w:val="13"/>
    <w:qFormat/>
    <w:uiPriority w:val="0"/>
    <w:rPr>
      <w:color w:val="800080"/>
      <w:u w:val="non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</w:style>
  <w:style w:type="character" w:styleId="18">
    <w:name w:val="HTML Typewriter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Acronym"/>
    <w:basedOn w:val="13"/>
    <w:qFormat/>
    <w:uiPriority w:val="0"/>
  </w:style>
  <w:style w:type="character" w:styleId="20">
    <w:name w:val="HTML Variable"/>
    <w:basedOn w:val="13"/>
    <w:qFormat/>
    <w:uiPriority w:val="0"/>
  </w:style>
  <w:style w:type="character" w:styleId="21">
    <w:name w:val="Hyperlink"/>
    <w:basedOn w:val="13"/>
    <w:qFormat/>
    <w:uiPriority w:val="0"/>
    <w:rPr>
      <w:color w:val="0000FF"/>
      <w:u w:val="none"/>
    </w:rPr>
  </w:style>
  <w:style w:type="character" w:styleId="22">
    <w:name w:val="HTML Code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Cite"/>
    <w:basedOn w:val="13"/>
    <w:qFormat/>
    <w:uiPriority w:val="0"/>
  </w:style>
  <w:style w:type="character" w:styleId="24">
    <w:name w:val="HTML Keyboard"/>
    <w:basedOn w:val="13"/>
    <w:qFormat/>
    <w:uiPriority w:val="0"/>
    <w:rPr>
      <w:rFonts w:ascii="monospace" w:hAnsi="monospace" w:eastAsia="monospace" w:cs="monospace"/>
      <w:sz w:val="20"/>
    </w:rPr>
  </w:style>
  <w:style w:type="character" w:styleId="25">
    <w:name w:val="HTML Sample"/>
    <w:basedOn w:val="13"/>
    <w:qFormat/>
    <w:uiPriority w:val="0"/>
    <w:rPr>
      <w:rFonts w:hint="default"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2605</Words>
  <Characters>3407</Characters>
  <Lines>0</Lines>
  <Paragraphs>0</Paragraphs>
  <TotalTime>0</TotalTime>
  <ScaleCrop>false</ScaleCrop>
  <LinksUpToDate>false</LinksUpToDate>
  <CharactersWithSpaces>3477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2025-06-25T21:35:00Z</dcterms:created>
  <dc:creator>金旭东</dc:creator>
  <cp:lastModifiedBy>省招</cp:lastModifiedBy>
  <dcterms:modified xsi:type="dcterms:W3CDTF">2026-06-01T07:05:23Z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1D35294D126B48E3B2947E8D2D73B7E1_13</vt:lpwstr>
  </property>
  <property fmtid="{D5CDD505-2E9C-101B-9397-08002B2CF9AE}" pid="4" name="KSOTemplateDocerSaveRecord">
    <vt:lpwstr>eyJoZGlkIjoiMjFlNDcxMzhjZTVlNDBjMzBjMjM4MDQwMDM2MDcyZTEiLCJ1c2VySWQiOiI4ODgyMDUxMzUifQ==</vt:lpwstr>
  </property>
</Properties>
</file>