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Theme="minorEastAsia" w:hAnsiTheme="minorEastAsia" w:eastAsiaTheme="minorEastAsia"/>
          <w:b/>
          <w:color w:val="auto"/>
          <w:sz w:val="28"/>
          <w:highlight w:val="none"/>
          <w:lang w:eastAsia="zh-CN"/>
        </w:rPr>
      </w:pPr>
      <w:bookmarkStart w:id="0" w:name="_Toc10891"/>
      <w:r>
        <w:rPr>
          <w:rFonts w:hint="eastAsia" w:asciiTheme="minorEastAsia" w:hAnsiTheme="minorEastAsia" w:eastAsiaTheme="minorEastAsia"/>
          <w:b/>
          <w:color w:val="auto"/>
          <w:sz w:val="28"/>
          <w:highlight w:val="none"/>
        </w:rPr>
        <w:t>第三章  采购需求</w:t>
      </w:r>
      <w:bookmarkEnd w:id="0"/>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前注：</w:t>
      </w:r>
    </w:p>
    <w:p>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lang w:val="en-US" w:eastAsia="zh-CN"/>
        </w:rPr>
        <w:t>1.</w:t>
      </w:r>
      <w:r>
        <w:rPr>
          <w:rFonts w:hint="eastAsia" w:ascii="宋体" w:hAnsi="宋体" w:eastAsia="宋体"/>
          <w:color w:val="auto"/>
          <w:sz w:val="24"/>
          <w:szCs w:val="18"/>
          <w:highlight w:val="none"/>
        </w:rPr>
        <w:t>如采购人允许采用分包方式履行合同的，应当明确可以分包履行的相关内容。</w:t>
      </w:r>
    </w:p>
    <w:p>
      <w:pPr>
        <w:spacing w:line="360" w:lineRule="auto"/>
        <w:ind w:firstLine="435"/>
        <w:rPr>
          <w:rFonts w:hint="default" w:ascii="宋体" w:hAnsi="宋体" w:eastAsia="宋体"/>
          <w:color w:val="auto"/>
          <w:sz w:val="24"/>
          <w:szCs w:val="18"/>
          <w:highlight w:val="none"/>
          <w:lang w:val="en-US" w:eastAsia="zh-CN"/>
        </w:rPr>
      </w:pPr>
      <w:r>
        <w:rPr>
          <w:rFonts w:hint="eastAsia" w:ascii="宋体" w:hAnsi="宋体" w:eastAsia="宋体"/>
          <w:color w:val="auto"/>
          <w:sz w:val="24"/>
          <w:szCs w:val="18"/>
          <w:highlight w:val="none"/>
          <w:lang w:val="en-US" w:eastAsia="zh-CN"/>
        </w:rPr>
        <w:t>2.下列采购需求中：标注▲的产品为本项目主要中标标的。</w:t>
      </w:r>
    </w:p>
    <w:p>
      <w:pPr>
        <w:spacing w:line="360" w:lineRule="auto"/>
        <w:ind w:firstLine="437"/>
        <w:outlineLvl w:val="1"/>
        <w:rPr>
          <w:rFonts w:ascii="宋体" w:hAnsi="宋体" w:eastAsia="宋体"/>
          <w:b/>
          <w:color w:val="auto"/>
          <w:sz w:val="24"/>
          <w:szCs w:val="18"/>
          <w:highlight w:val="none"/>
        </w:rPr>
      </w:pPr>
      <w:bookmarkStart w:id="1" w:name="_Toc32151"/>
      <w:bookmarkStart w:id="2" w:name="_Toc2554"/>
      <w:r>
        <w:rPr>
          <w:rFonts w:hint="eastAsia" w:ascii="宋体" w:hAnsi="宋体" w:eastAsia="宋体"/>
          <w:b/>
          <w:color w:val="auto"/>
          <w:sz w:val="24"/>
          <w:szCs w:val="18"/>
          <w:highlight w:val="none"/>
        </w:rPr>
        <w:t>一、采购需求前附表</w:t>
      </w:r>
      <w:bookmarkEnd w:id="1"/>
      <w:bookmarkEnd w:id="2"/>
    </w:p>
    <w:tbl>
      <w:tblPr>
        <w:tblStyle w:val="3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2032"/>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006" w:type="dxa"/>
            <w:vAlign w:val="center"/>
          </w:tcPr>
          <w:p>
            <w:pPr>
              <w:pStyle w:val="37"/>
              <w:pBdr>
                <w:bottom w:val="none" w:color="auto" w:sz="0" w:space="0"/>
              </w:pBdr>
              <w:tabs>
                <w:tab w:val="clear" w:pos="4153"/>
                <w:tab w:val="clear" w:pos="8306"/>
              </w:tabs>
              <w:adjustRightInd/>
              <w:spacing w:line="240" w:lineRule="auto"/>
              <w:textAlignment w:val="auto"/>
              <w:rPr>
                <w:rFonts w:ascii="宋体" w:hAnsi="宋体" w:eastAsia="宋体"/>
                <w:b/>
                <w:color w:val="auto"/>
                <w:kern w:val="2"/>
                <w:highlight w:val="none"/>
              </w:rPr>
            </w:pPr>
            <w:r>
              <w:rPr>
                <w:rFonts w:hint="eastAsia" w:ascii="宋体" w:hAnsi="宋体" w:eastAsia="宋体"/>
                <w:b/>
                <w:color w:val="auto"/>
                <w:kern w:val="2"/>
                <w:highlight w:val="none"/>
              </w:rPr>
              <w:t>序号</w:t>
            </w:r>
          </w:p>
        </w:tc>
        <w:tc>
          <w:tcPr>
            <w:tcW w:w="2032" w:type="dxa"/>
            <w:vAlign w:val="center"/>
          </w:tcPr>
          <w:p>
            <w:pPr>
              <w:pStyle w:val="36"/>
              <w:widowControl w:val="0"/>
              <w:spacing w:before="0" w:beforeAutospacing="0" w:after="0" w:afterAutospacing="0" w:line="360" w:lineRule="auto"/>
              <w:rPr>
                <w:rFonts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5484" w:type="dxa"/>
            <w:vAlign w:val="center"/>
          </w:tcPr>
          <w:p>
            <w:pPr>
              <w:pStyle w:val="36"/>
              <w:widowControl w:val="0"/>
              <w:spacing w:before="0" w:beforeAutospacing="0" w:after="0" w:afterAutospacing="0" w:line="360" w:lineRule="auto"/>
              <w:rPr>
                <w:rFonts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006" w:type="dxa"/>
            <w:vAlign w:val="center"/>
          </w:tcPr>
          <w:p>
            <w:pPr>
              <w:pStyle w:val="37"/>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1</w:t>
            </w:r>
          </w:p>
        </w:tc>
        <w:tc>
          <w:tcPr>
            <w:tcW w:w="2032" w:type="dxa"/>
            <w:vAlign w:val="center"/>
          </w:tcPr>
          <w:p>
            <w:pPr>
              <w:pStyle w:val="36"/>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付款方式</w:t>
            </w:r>
          </w:p>
        </w:tc>
        <w:tc>
          <w:tcPr>
            <w:tcW w:w="5484" w:type="dxa"/>
            <w:vAlign w:val="center"/>
          </w:tcPr>
          <w:p>
            <w:pPr>
              <w:pStyle w:val="36"/>
              <w:widowControl w:val="0"/>
              <w:spacing w:before="0" w:beforeAutospacing="0" w:after="0" w:afterAutospacing="0" w:line="360" w:lineRule="auto"/>
              <w:jc w:val="both"/>
              <w:rPr>
                <w:rFonts w:ascii="宋体" w:hAnsi="宋体" w:eastAsia="宋体"/>
                <w:b w:val="0"/>
                <w:color w:val="auto"/>
                <w:sz w:val="24"/>
                <w:highlight w:val="none"/>
                <w:u w:val="none"/>
              </w:rPr>
            </w:pPr>
            <w:r>
              <w:rPr>
                <w:rFonts w:hint="eastAsia" w:ascii="宋体" w:hAnsi="宋体" w:eastAsia="宋体"/>
                <w:b w:val="0"/>
                <w:color w:val="auto"/>
                <w:sz w:val="24"/>
                <w:highlight w:val="none"/>
                <w:u w:val="single"/>
                <w:lang w:eastAsia="zh-CN"/>
              </w:rPr>
              <w:t>项目经验收合格且相关资料齐备己移交后，一次性付清合同价款</w:t>
            </w:r>
            <w:r>
              <w:rPr>
                <w:rFonts w:hint="eastAsia" w:ascii="宋体" w:hAnsi="宋体" w:eastAsia="宋体"/>
                <w:b w:val="0"/>
                <w:color w:val="auto"/>
                <w:sz w:val="24"/>
                <w:highlight w:val="none"/>
                <w:u w:val="single"/>
              </w:rPr>
              <w:t>。</w:t>
            </w:r>
            <w:r>
              <w:rPr>
                <w:rFonts w:hint="eastAsia" w:ascii="宋体" w:hAnsi="宋体" w:eastAsia="宋体"/>
                <w:b w:val="0"/>
                <w:color w:val="auto"/>
                <w:sz w:val="24"/>
                <w:highlight w:val="none"/>
                <w:u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006" w:type="dxa"/>
            <w:vAlign w:val="center"/>
          </w:tcPr>
          <w:p>
            <w:pPr>
              <w:pStyle w:val="37"/>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2</w:t>
            </w:r>
          </w:p>
        </w:tc>
        <w:tc>
          <w:tcPr>
            <w:tcW w:w="2032" w:type="dxa"/>
            <w:vAlign w:val="center"/>
          </w:tcPr>
          <w:p>
            <w:pPr>
              <w:pStyle w:val="36"/>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供货及安装地点</w:t>
            </w:r>
          </w:p>
        </w:tc>
        <w:tc>
          <w:tcPr>
            <w:tcW w:w="5484" w:type="dxa"/>
            <w:vAlign w:val="center"/>
          </w:tcPr>
          <w:p>
            <w:pPr>
              <w:pStyle w:val="36"/>
              <w:widowControl w:val="0"/>
              <w:spacing w:before="0" w:beforeAutospacing="0" w:after="0" w:afterAutospacing="0" w:line="360" w:lineRule="auto"/>
              <w:jc w:val="both"/>
              <w:rPr>
                <w:rFonts w:ascii="宋体" w:hAnsi="宋体" w:eastAsia="宋体"/>
                <w:b w:val="0"/>
                <w:color w:val="auto"/>
                <w:sz w:val="24"/>
                <w:highlight w:val="none"/>
                <w:u w:val="none"/>
              </w:rPr>
            </w:pPr>
            <w:r>
              <w:rPr>
                <w:rFonts w:hint="eastAsia" w:ascii="宋体" w:hAnsi="宋体" w:eastAsia="宋体"/>
                <w:b w:val="0"/>
                <w:color w:val="auto"/>
                <w:sz w:val="24"/>
                <w:highlight w:val="none"/>
                <w:u w:val="none"/>
                <w:lang w:val="en-US" w:eastAsia="zh-CN"/>
              </w:rPr>
              <w:t>安徽省体育中心，具体按采购人指定地点</w:t>
            </w:r>
            <w:r>
              <w:rPr>
                <w:rFonts w:hint="eastAsia" w:ascii="宋体" w:hAnsi="宋体" w:eastAsia="宋体"/>
                <w:b w:val="0"/>
                <w:color w:val="auto"/>
                <w:sz w:val="24"/>
                <w:highlight w:val="none"/>
                <w:u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006" w:type="dxa"/>
            <w:vAlign w:val="center"/>
          </w:tcPr>
          <w:p>
            <w:pPr>
              <w:pStyle w:val="37"/>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3</w:t>
            </w:r>
          </w:p>
        </w:tc>
        <w:tc>
          <w:tcPr>
            <w:tcW w:w="2032" w:type="dxa"/>
            <w:vAlign w:val="center"/>
          </w:tcPr>
          <w:p>
            <w:pPr>
              <w:pStyle w:val="36"/>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供货及安装期限</w:t>
            </w:r>
          </w:p>
        </w:tc>
        <w:tc>
          <w:tcPr>
            <w:tcW w:w="5484" w:type="dxa"/>
            <w:vAlign w:val="center"/>
          </w:tcPr>
          <w:p>
            <w:pPr>
              <w:pStyle w:val="36"/>
              <w:widowControl w:val="0"/>
              <w:spacing w:before="0" w:beforeAutospacing="0" w:after="0" w:afterAutospacing="0" w:line="360" w:lineRule="auto"/>
              <w:jc w:val="both"/>
              <w:rPr>
                <w:rFonts w:ascii="宋体" w:hAnsi="宋体" w:eastAsia="宋体"/>
                <w:b w:val="0"/>
                <w:color w:val="auto"/>
                <w:sz w:val="24"/>
                <w:highlight w:val="none"/>
                <w:u w:val="none"/>
              </w:rPr>
            </w:pPr>
            <w:r>
              <w:rPr>
                <w:rFonts w:hint="eastAsia" w:ascii="宋体" w:hAnsi="宋体" w:eastAsia="宋体"/>
                <w:b w:val="0"/>
                <w:color w:val="auto"/>
                <w:sz w:val="24"/>
                <w:highlight w:val="none"/>
                <w:u w:val="single"/>
                <w:lang w:val="en-US" w:eastAsia="zh-CN"/>
              </w:rPr>
              <w:t>合同生效之日起，30天内完成供货、安装、调试、培训等所有工作内容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006" w:type="dxa"/>
            <w:vAlign w:val="center"/>
          </w:tcPr>
          <w:p>
            <w:pPr>
              <w:pStyle w:val="37"/>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4</w:t>
            </w:r>
          </w:p>
        </w:tc>
        <w:tc>
          <w:tcPr>
            <w:tcW w:w="2032" w:type="dxa"/>
            <w:vAlign w:val="center"/>
          </w:tcPr>
          <w:p>
            <w:pPr>
              <w:pStyle w:val="36"/>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免费质保期</w:t>
            </w:r>
          </w:p>
        </w:tc>
        <w:tc>
          <w:tcPr>
            <w:tcW w:w="5484" w:type="dxa"/>
            <w:vAlign w:val="center"/>
          </w:tcPr>
          <w:p>
            <w:pPr>
              <w:pStyle w:val="36"/>
              <w:widowControl w:val="0"/>
              <w:spacing w:before="0" w:beforeAutospacing="0" w:after="0" w:afterAutospacing="0" w:line="360" w:lineRule="auto"/>
              <w:jc w:val="both"/>
              <w:rPr>
                <w:rFonts w:hint="eastAsia" w:ascii="宋体" w:hAnsi="宋体" w:eastAsia="宋体"/>
                <w:b w:val="0"/>
                <w:color w:val="auto"/>
                <w:sz w:val="24"/>
                <w:highlight w:val="none"/>
                <w:u w:val="single"/>
              </w:rPr>
            </w:pPr>
            <w:r>
              <w:rPr>
                <w:rFonts w:hint="eastAsia" w:ascii="宋体" w:hAnsi="宋体" w:eastAsia="宋体"/>
                <w:b w:val="0"/>
                <w:color w:val="auto"/>
                <w:sz w:val="24"/>
                <w:highlight w:val="none"/>
                <w:u w:val="single"/>
              </w:rPr>
              <w:t>采购清单中未明确的，免费质保期为自验收合格之日起</w:t>
            </w:r>
            <w:r>
              <w:rPr>
                <w:rFonts w:hint="eastAsia" w:ascii="宋体" w:hAnsi="宋体" w:eastAsia="宋体"/>
                <w:b w:val="0"/>
                <w:color w:val="auto"/>
                <w:sz w:val="24"/>
                <w:highlight w:val="none"/>
                <w:u w:val="single"/>
                <w:lang w:val="en-US" w:eastAsia="zh-CN"/>
              </w:rPr>
              <w:t>1</w:t>
            </w:r>
            <w:r>
              <w:rPr>
                <w:rFonts w:hint="eastAsia" w:ascii="宋体" w:hAnsi="宋体" w:eastAsia="宋体"/>
                <w:b w:val="0"/>
                <w:color w:val="auto"/>
                <w:sz w:val="24"/>
                <w:highlight w:val="none"/>
                <w:u w:val="single"/>
              </w:rPr>
              <w:t>年；</w:t>
            </w:r>
          </w:p>
          <w:p>
            <w:pPr>
              <w:pStyle w:val="36"/>
              <w:widowControl w:val="0"/>
              <w:spacing w:before="0" w:beforeAutospacing="0" w:after="0" w:afterAutospacing="0" w:line="360" w:lineRule="auto"/>
              <w:jc w:val="both"/>
              <w:rPr>
                <w:rFonts w:ascii="宋体" w:hAnsi="宋体" w:eastAsia="宋体"/>
                <w:b w:val="0"/>
                <w:color w:val="auto"/>
                <w:sz w:val="24"/>
                <w:highlight w:val="none"/>
                <w:u w:val="none"/>
              </w:rPr>
            </w:pPr>
            <w:r>
              <w:rPr>
                <w:rFonts w:hint="eastAsia" w:ascii="宋体" w:hAnsi="宋体" w:eastAsia="宋体"/>
                <w:b w:val="0"/>
                <w:color w:val="auto"/>
                <w:sz w:val="24"/>
                <w:highlight w:val="none"/>
                <w:u w:val="single"/>
              </w:rPr>
              <w:t>采购清单中明确的，免费质保期按采购清单执行。</w:t>
            </w:r>
            <w:r>
              <w:rPr>
                <w:rFonts w:hint="eastAsia" w:ascii="宋体" w:hAnsi="宋体" w:eastAsia="宋体"/>
                <w:b w:val="0"/>
                <w:color w:val="auto"/>
                <w:sz w:val="24"/>
                <w:highlight w:val="none"/>
                <w:u w:val="none"/>
              </w:rPr>
              <w:t xml:space="preserve">     </w:t>
            </w:r>
          </w:p>
        </w:tc>
      </w:tr>
    </w:tbl>
    <w:p>
      <w:pPr>
        <w:spacing w:line="360" w:lineRule="auto"/>
        <w:ind w:firstLine="437"/>
        <w:outlineLvl w:val="1"/>
        <w:rPr>
          <w:rFonts w:hint="eastAsia" w:ascii="宋体" w:hAnsi="宋体" w:eastAsia="宋体"/>
          <w:b/>
          <w:bCs/>
          <w:color w:val="auto"/>
          <w:sz w:val="24"/>
          <w:szCs w:val="18"/>
          <w:highlight w:val="none"/>
        </w:rPr>
      </w:pPr>
      <w:bookmarkStart w:id="3" w:name="_Toc7671"/>
      <w:bookmarkStart w:id="4" w:name="_Toc5944"/>
      <w:r>
        <w:rPr>
          <w:rFonts w:hint="eastAsia" w:ascii="宋体" w:hAnsi="宋体" w:eastAsia="宋体"/>
          <w:b/>
          <w:bCs/>
          <w:color w:val="auto"/>
          <w:sz w:val="24"/>
          <w:szCs w:val="18"/>
          <w:highlight w:val="none"/>
        </w:rPr>
        <w:t>二、</w:t>
      </w:r>
      <w:r>
        <w:rPr>
          <w:rFonts w:hint="eastAsia" w:ascii="宋体" w:hAnsi="宋体" w:eastAsia="宋体"/>
          <w:b/>
          <w:color w:val="auto"/>
          <w:sz w:val="24"/>
          <w:szCs w:val="18"/>
          <w:highlight w:val="none"/>
        </w:rPr>
        <w:t>货物</w:t>
      </w:r>
      <w:r>
        <w:rPr>
          <w:rFonts w:hint="eastAsia" w:ascii="宋体" w:hAnsi="宋体" w:eastAsia="宋体"/>
          <w:b/>
          <w:bCs/>
          <w:color w:val="auto"/>
          <w:sz w:val="24"/>
          <w:szCs w:val="18"/>
          <w:highlight w:val="none"/>
        </w:rPr>
        <w:t>需求</w:t>
      </w:r>
      <w:bookmarkEnd w:id="3"/>
      <w:bookmarkEnd w:id="4"/>
    </w:p>
    <w:p>
      <w:pPr>
        <w:keepNext w:val="0"/>
        <w:keepLines w:val="0"/>
        <w:pageBreakBefore w:val="0"/>
        <w:widowControl/>
        <w:kinsoku/>
        <w:wordWrap/>
        <w:overflowPunct/>
        <w:topLinePunct w:val="0"/>
        <w:autoSpaceDE/>
        <w:autoSpaceDN/>
        <w:bidi w:val="0"/>
        <w:adjustRightInd/>
        <w:snapToGrid/>
        <w:spacing w:line="360" w:lineRule="auto"/>
        <w:ind w:firstLine="482" w:firstLineChars="200"/>
        <w:outlineLvl w:val="2"/>
        <w:rPr>
          <w:rFonts w:hint="eastAsia" w:ascii="宋体" w:hAnsi="宋体" w:eastAsia="宋体" w:cs="宋体"/>
          <w:b/>
          <w:bCs/>
          <w:color w:val="auto"/>
          <w:sz w:val="24"/>
          <w:szCs w:val="24"/>
          <w:highlight w:val="none"/>
        </w:rPr>
      </w:pPr>
      <w:bookmarkStart w:id="5" w:name="_Toc7421"/>
      <w:bookmarkStart w:id="6" w:name="_Toc4843"/>
      <w:bookmarkStart w:id="7" w:name="_Toc532199628"/>
      <w:r>
        <w:rPr>
          <w:rFonts w:hint="eastAsia" w:ascii="宋体" w:hAnsi="宋体" w:eastAsia="宋体" w:cs="宋体"/>
          <w:b/>
          <w:bCs/>
          <w:color w:val="auto"/>
          <w:sz w:val="24"/>
          <w:szCs w:val="24"/>
          <w:highlight w:val="none"/>
        </w:rPr>
        <w:t>1、标识符号</w:t>
      </w:r>
    </w:p>
    <w:tbl>
      <w:tblPr>
        <w:tblStyle w:val="3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4"/>
        <w:gridCol w:w="1365"/>
        <w:gridCol w:w="5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94"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标识类型</w:t>
            </w:r>
          </w:p>
        </w:tc>
        <w:tc>
          <w:tcPr>
            <w:tcW w:w="136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标识符号</w:t>
            </w:r>
          </w:p>
        </w:tc>
        <w:tc>
          <w:tcPr>
            <w:tcW w:w="5363"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标识符号含义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jc w:val="center"/>
        </w:trPr>
        <w:tc>
          <w:tcPr>
            <w:tcW w:w="1794"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重要指标项</w:t>
            </w:r>
          </w:p>
        </w:tc>
        <w:tc>
          <w:tcPr>
            <w:tcW w:w="136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p>
        </w:tc>
        <w:tc>
          <w:tcPr>
            <w:tcW w:w="5363"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评分项，详见评标办法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jc w:val="center"/>
        </w:trPr>
        <w:tc>
          <w:tcPr>
            <w:tcW w:w="1794"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无标识项</w:t>
            </w:r>
          </w:p>
        </w:tc>
        <w:tc>
          <w:tcPr>
            <w:tcW w:w="136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p>
        </w:tc>
        <w:tc>
          <w:tcPr>
            <w:tcW w:w="5363"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项以上（不含）负偏离或未响应的，投标无效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8522" w:type="dxa"/>
            <w:gridSpan w:val="3"/>
            <w:vAlign w:val="center"/>
          </w:tcPr>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①技术规格书中★参数：投标文件中提供证明材料，技术参数中未明确要求证明材料类型的，证明材料包括但不限于产品彩页或技术说明书或产品官网截图或第三方机构出具的具有CMA标识的检测报告等；技术参数中明确要求证明材料类型的，按技术参数中的要求执行；</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标识条款中如包含多条子项技术参数或要求，则需满足或优于该标识条款内所有子项技术参数或要求方能得分。</w:t>
            </w:r>
          </w:p>
        </w:tc>
      </w:tr>
    </w:tbl>
    <w:p>
      <w:pPr>
        <w:keepNext w:val="0"/>
        <w:keepLines w:val="0"/>
        <w:pageBreakBefore w:val="0"/>
        <w:widowControl/>
        <w:kinsoku/>
        <w:wordWrap/>
        <w:overflowPunct/>
        <w:topLinePunct w:val="0"/>
        <w:autoSpaceDE/>
        <w:autoSpaceDN/>
        <w:bidi w:val="0"/>
        <w:adjustRightInd/>
        <w:snapToGrid/>
        <w:spacing w:line="360" w:lineRule="auto"/>
        <w:ind w:firstLine="482" w:firstLineChars="20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2、采购清单</w:t>
      </w:r>
    </w:p>
    <w:p>
      <w:pPr>
        <w:keepNext w:val="0"/>
        <w:keepLines w:val="0"/>
        <w:pageBreakBefore w:val="0"/>
        <w:widowControl/>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（1）下述技术参数所涉及的具体物理尺寸</w:t>
      </w:r>
      <w:r>
        <w:rPr>
          <w:rFonts w:hint="eastAsia" w:ascii="宋体" w:hAnsi="宋体" w:eastAsia="宋体" w:cs="宋体"/>
          <w:color w:val="auto"/>
          <w:sz w:val="24"/>
          <w:szCs w:val="24"/>
          <w:highlight w:val="none"/>
        </w:rPr>
        <w:t>的已明确偏离范围的按要求执行，未明确偏离范围的允许±5%偏离。</w:t>
      </w:r>
    </w:p>
    <w:p>
      <w:pPr>
        <w:keepNext w:val="0"/>
        <w:keepLines w:val="0"/>
        <w:pageBreakBefore w:val="0"/>
        <w:widowControl/>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（2）技术规格书：</w:t>
      </w:r>
    </w:p>
    <w:tbl>
      <w:tblPr>
        <w:tblStyle w:val="32"/>
        <w:tblW w:w="859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
        <w:gridCol w:w="1218"/>
        <w:gridCol w:w="24"/>
        <w:gridCol w:w="5721"/>
        <w:gridCol w:w="24"/>
        <w:gridCol w:w="674"/>
        <w:gridCol w:w="24"/>
        <w:gridCol w:w="861"/>
        <w:gridCol w:w="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gridBefore w:val="1"/>
          <w:wBefore w:w="24" w:type="dxa"/>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最低技术规格</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gridBefore w:val="1"/>
          <w:wBefore w:w="24" w:type="dxa"/>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不低于4000G SATA3.0</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gridBefore w:val="1"/>
          <w:wBefore w:w="24" w:type="dxa"/>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硬盘录像机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1、支持接入H.265、Smart265、H.264、Smart264视频编码码流；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2、支持不低于8路1080P解码（最大可提升不低于12路1080P解码）；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3、支持不低于6MP网络视频的预览、存储与回放；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4、支持HDMI与VGA同源输出，HDMI最大支持不低于4K输出，VGA支持不低于1080P输出；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5、支持不低于1个SATA接口，最大支持不低于8T硬盘；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6、支持智能分析能力；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7、支持快速回放与智能检索功能。</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gridAfter w:val="1"/>
          <w:wAfter w:w="24" w:type="dxa"/>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交换容量≥5.9Tbps，包转发率≥144Mpps；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2、端口类型≥24个10/100/1000TX BASE-T电口，≥4个1000BASE-X SFP端口；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3、支持MAC地址绑定、支持MAC地址学习；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4、★支持组播VLAN、Guest VLAN、MAC VLAN、端口的VLAN；</w:t>
            </w:r>
          </w:p>
          <w:p>
            <w:pPr>
              <w:widowControl/>
              <w:numPr>
                <w:ilvl w:val="0"/>
                <w:numId w:val="0"/>
              </w:numPr>
              <w:spacing w:line="360" w:lineRule="auto"/>
              <w:ind w:firstLineChars="0"/>
              <w:jc w:val="left"/>
              <w:textAlignment w:val="center"/>
              <w:rPr>
                <w:rFonts w:hint="eastAsia" w:ascii="宋体" w:hAnsi="宋体" w:cs="宋体" w:eastAsiaTheme="majorEastAsia"/>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5、支持端口自环检测；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6、支持端口镜像、流镜像；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7、支持IEEE 802.3ad，支持动态链路聚合LACP；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8、支持端口限速、流的重定向功能；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t>
            </w:r>
            <w:r>
              <w:rPr>
                <w:rFonts w:hint="eastAsia" w:asciiTheme="majorEastAsia" w:hAnsiTheme="majorEastAsia" w:eastAsiaTheme="majorEastAsia" w:cstheme="majorEastAsia"/>
                <w:color w:val="auto"/>
                <w:kern w:val="0"/>
                <w:sz w:val="24"/>
                <w:szCs w:val="24"/>
                <w:u w:val="none"/>
              </w:rPr>
              <w:t>★支持SNMP</w:t>
            </w:r>
            <w:r>
              <w:rPr>
                <w:rFonts w:hint="eastAsia" w:asciiTheme="majorEastAsia" w:hAnsiTheme="majorEastAsia" w:eastAsiaTheme="majorEastAsia" w:cstheme="majorEastAsia"/>
                <w:color w:val="auto"/>
                <w:sz w:val="24"/>
                <w:szCs w:val="24"/>
                <w:u w:val="none"/>
              </w:rPr>
              <w:t xml:space="preserve"> </w:t>
            </w:r>
            <w:r>
              <w:rPr>
                <w:rFonts w:hint="eastAsia" w:asciiTheme="majorEastAsia" w:hAnsiTheme="majorEastAsia" w:eastAsiaTheme="majorEastAsia" w:cstheme="majorEastAsia"/>
                <w:color w:val="auto"/>
                <w:kern w:val="0"/>
                <w:sz w:val="24"/>
                <w:szCs w:val="24"/>
                <w:u w:val="none"/>
              </w:rPr>
              <w:t>v1/v2/v3、TELNET、SSH2.0等多种管理方式，支持管理系统、WEB网管，支持云管功能</w:t>
            </w:r>
            <w:r>
              <w:rPr>
                <w:rFonts w:hint="eastAsia" w:asciiTheme="majorEastAsia" w:hAnsiTheme="majorEastAsia" w:eastAsiaTheme="majorEastAsia" w:cstheme="majorEastAsia"/>
                <w:color w:val="auto"/>
                <w:kern w:val="0"/>
                <w:sz w:val="24"/>
                <w:szCs w:val="24"/>
                <w:u w:val="none"/>
                <w:lang w:eastAsia="zh-CN"/>
              </w:rPr>
              <w:t>。</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安防管理平台</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1、具有不低于1个DP接口、2个HDMI接口、1个VGA口、4个RJ45 10/100/1000Mbps 自适应以太网口、7个USB接口（其中5个USB2.0接口,2个USB3.0接口）、1个RS-485接口、1个RS-232接口、16路报警输入接口、4路报警输出接口、5个SATA 3.0接口；</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2、具有不低于2路音频输入（1路3.5mm，1路RCA）、2路音频输出（1路3.5mm、1路RCA）；</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3、支持对用户、角色、组织、区域、人员、车辆、卡片、设备等基础资源进行管理调配；</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4、运行管理中心提供统一的认证、授权管理机制，支持HTTPS以及密码安全加密访问认证；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5、支持业务应用组件化，各组件独立运行、维护，支持独立安装或卸载；</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6、监控点最大管理容量不低于1000路；</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7、客户端支持在1/2/3/4/6/8/9/10/13/14/16/17/24/25画面分隔模式下进行监控点轮巡预览，轮巡时间可设置，支持全屏显示；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8、支持在视频预览、录像回放、即时回放、录像剪辑、手动录像和录像下载时叠加水印；</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支持大屏控制，可对大屏进行1/4/9/16/25分屏、拼接、开窗、窗口漫游的操作，通过客户端支持电视墙开窗后支持分割，并可将大屏分屏配置另保存为场景，支持在iPad上操作监控点上墙、拼接、分屏、漫游、预案切换等操作；</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10、★支持开启SVC解码功能，可同时回放不低于5路400W分辨率、H.264/H.265编码格式的视频图像，解码总资源不低于10个1920×1080格式的视频图像；</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11、★支持将多路通道的视频画面合并为一个画面，用单个通道的带宽在客户端软件中查看，并可设置帧率、码率。</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交换机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★交换容量≥240Gbps，包转发率≥44.6Mpps；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2"/>
                <w:sz w:val="24"/>
                <w:szCs w:val="24"/>
                <w:lang w:val="en-US" w:eastAsia="zh-CN" w:bidi="ar-SA"/>
              </w:rPr>
              <w:t>2、</w:t>
            </w:r>
            <w:r>
              <w:rPr>
                <w:rFonts w:hint="eastAsia" w:ascii="宋体" w:hAnsi="宋体" w:eastAsia="宋体" w:cs="宋体"/>
                <w:b w:val="0"/>
                <w:bCs w:val="0"/>
                <w:i w:val="0"/>
                <w:iCs w:val="0"/>
                <w:color w:val="000000"/>
                <w:kern w:val="0"/>
                <w:sz w:val="24"/>
                <w:szCs w:val="24"/>
                <w:u w:val="none"/>
                <w:lang w:val="en-US" w:eastAsia="zh-CN" w:bidi="ar"/>
              </w:rPr>
              <w:t>★端口类型≥ 4个100/1000/2500BASE-T 电口，≥2个1G/2.5G/10G SFP+端口；</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3、支持DHCP Snooping，可防私接，支持基于端口的VLAN；</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4、支持广播风暴抑制、未知单播抑制、多播风暴抑；</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5、支持端口镜像、端口自环检测、端口隔离、端口聚合；</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6、环境温度至少覆盖：-5ºC～45ºC。</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模块</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1、万兆多模双纤光模块；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2、TX850nm/不低于10G；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3、RX850nm/不低于10G LC 多模双纤双向；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4、距离不低于300m；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5、发射光功率至少覆盖：-6.5～-1dBm。</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网络摄像机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1、全彩级高灵敏度传感器，不低于F1.0超大光圈镜头；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2、夜视效果随时在线；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3、最高分辨率不低于2560×1440 @25 fps，在该分辨率下可输出实时图像；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4、内置麦克风&amp;扬声器；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5、支持人/车目标分类；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6、支持背光补偿，强光抑制，3D数字降噪；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7、支持柔光灯补光，照射距离最远不低于30m；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8、符合不低于IP67防尘防水设计。</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摄像机支架</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壁装支架</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硬盘录像机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1、可接驳符合GB28181标准的网络摄像机；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w:t>
            </w:r>
            <w:r>
              <w:rPr>
                <w:rFonts w:hint="eastAsia" w:ascii="宋体" w:hAnsi="宋体" w:eastAsia="宋体" w:cs="宋体"/>
                <w:i w:val="0"/>
                <w:iCs w:val="0"/>
                <w:color w:val="000000"/>
                <w:kern w:val="0"/>
                <w:sz w:val="24"/>
                <w:szCs w:val="24"/>
                <w:highlight w:val="none"/>
                <w:u w:val="none"/>
                <w:lang w:val="en-US" w:eastAsia="zh-CN" w:bidi="ar"/>
              </w:rPr>
              <w:t>不低于12路1080P解码（可提升至不低于16路1080P解码）；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3、支持不低于800万像素高清网络视频的预览、存储与回放；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4、支持HDMI与VGA同/异源输出，HDMI最大支持不低于4K超高清显示输出，VGA支持不低于1080P高清显示输出；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5、自带不低于8个SATA接口，最大支持不低于10TB硬盘；</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6、支持IP设备集中管理，包括IP设备一键添加、参数配置、批量升级、导入/导出等；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7、最大支持不低于16路本地同步</w:t>
            </w:r>
            <w:r>
              <w:rPr>
                <w:rFonts w:hint="eastAsia" w:ascii="宋体" w:hAnsi="宋体" w:eastAsia="宋体" w:cs="宋体"/>
                <w:i w:val="0"/>
                <w:iCs w:val="0"/>
                <w:color w:val="000000"/>
                <w:kern w:val="0"/>
                <w:sz w:val="24"/>
                <w:szCs w:val="24"/>
                <w:u w:val="none"/>
                <w:lang w:val="en-US" w:eastAsia="zh-CN" w:bidi="ar"/>
              </w:rPr>
              <w:t>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8、针对人、车及事件类型，支持快速回放与检索功能。</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前端网络搭建及整合</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布线及网络配置</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不间断电源</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1、额定容量</w:t>
            </w:r>
            <w:r>
              <w:rPr>
                <w:rFonts w:hint="eastAsia" w:ascii="宋体" w:hAnsi="宋体" w:eastAsia="宋体" w:cs="宋体"/>
                <w:i w:val="0"/>
                <w:iCs w:val="0"/>
                <w:color w:val="000000"/>
                <w:kern w:val="0"/>
                <w:sz w:val="24"/>
                <w:szCs w:val="24"/>
                <w:u w:val="none"/>
                <w:lang w:val="en-US" w:eastAsia="zh-CN" w:bidi="ar"/>
              </w:rPr>
              <w:t>不低于</w:t>
            </w:r>
            <w:r>
              <w:rPr>
                <w:rFonts w:hint="default" w:ascii="宋体" w:hAnsi="宋体" w:eastAsia="宋体" w:cs="宋体"/>
                <w:i w:val="0"/>
                <w:iCs w:val="0"/>
                <w:color w:val="000000"/>
                <w:kern w:val="0"/>
                <w:sz w:val="24"/>
                <w:szCs w:val="24"/>
                <w:u w:val="none"/>
                <w:lang w:val="en-US" w:eastAsia="zh-CN" w:bidi="ar"/>
              </w:rPr>
              <w:t>6000VA/5400KW，大屏LCD</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2、输入电压范围</w:t>
            </w:r>
            <w:r>
              <w:rPr>
                <w:rFonts w:hint="eastAsia" w:ascii="宋体" w:hAnsi="宋体" w:eastAsia="宋体" w:cs="宋体"/>
                <w:i w:val="0"/>
                <w:iCs w:val="0"/>
                <w:color w:val="000000"/>
                <w:kern w:val="0"/>
                <w:sz w:val="24"/>
                <w:szCs w:val="24"/>
                <w:u w:val="none"/>
                <w:lang w:val="en-US" w:eastAsia="zh-CN" w:bidi="ar"/>
              </w:rPr>
              <w:t>至少覆盖</w:t>
            </w:r>
            <w:r>
              <w:rPr>
                <w:rFonts w:hint="default" w:ascii="宋体" w:hAnsi="宋体" w:eastAsia="宋体" w:cs="宋体"/>
                <w:i w:val="0"/>
                <w:iCs w:val="0"/>
                <w:color w:val="000000"/>
                <w:kern w:val="0"/>
                <w:sz w:val="24"/>
                <w:szCs w:val="24"/>
                <w:u w:val="none"/>
                <w:lang w:val="en-US" w:eastAsia="zh-CN" w:bidi="ar"/>
              </w:rPr>
              <w:t>：110-300VAC；输入谐波：</w:t>
            </w:r>
            <w:r>
              <w:rPr>
                <w:rFonts w:hint="eastAsia" w:ascii="宋体" w:hAnsi="宋体" w:eastAsia="宋体" w:cs="宋体"/>
                <w:i w:val="0"/>
                <w:iCs w:val="0"/>
                <w:color w:val="000000"/>
                <w:kern w:val="0"/>
                <w:sz w:val="24"/>
                <w:szCs w:val="24"/>
                <w:u w:val="none"/>
                <w:lang w:val="en-US" w:eastAsia="zh-CN" w:bidi="ar"/>
              </w:rPr>
              <w:t>不低于</w:t>
            </w:r>
            <w:r>
              <w:rPr>
                <w:rFonts w:hint="default" w:ascii="宋体" w:hAnsi="宋体" w:eastAsia="宋体" w:cs="宋体"/>
                <w:i w:val="0"/>
                <w:iCs w:val="0"/>
                <w:color w:val="000000"/>
                <w:kern w:val="0"/>
                <w:sz w:val="24"/>
                <w:szCs w:val="24"/>
                <w:u w:val="none"/>
                <w:lang w:val="en-US" w:eastAsia="zh-CN" w:bidi="ar"/>
              </w:rPr>
              <w:t>3%；输入功率因数：＞0.99；输出电压：220VAC±1%；输出电压失真：＜2%(线性载)</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不低于</w:t>
            </w:r>
            <w:r>
              <w:rPr>
                <w:rFonts w:hint="default" w:ascii="宋体" w:hAnsi="宋体" w:eastAsia="宋体" w:cs="宋体"/>
                <w:i w:val="0"/>
                <w:iCs w:val="0"/>
                <w:color w:val="000000"/>
                <w:kern w:val="0"/>
                <w:sz w:val="24"/>
                <w:szCs w:val="24"/>
                <w:u w:val="none"/>
                <w:lang w:val="en-US" w:eastAsia="zh-CN" w:bidi="ar"/>
              </w:rPr>
              <w:t>0.9输出功因，兼容多种负载类型；支持ECO供电模式</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4、采用自动温控风扇，自动调节风扇的转速。</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蓄电池</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1、12V100AH铅酸蓄电池16只，正、负极端子应有明显标志，便于连接</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2、阻燃性能，应符合YD/T799-</w:t>
            </w:r>
            <w:r>
              <w:rPr>
                <w:rFonts w:hint="eastAsia" w:ascii="宋体" w:hAnsi="宋体" w:eastAsia="宋体" w:cs="宋体"/>
                <w:i w:val="0"/>
                <w:iCs w:val="0"/>
                <w:color w:val="000000"/>
                <w:kern w:val="0"/>
                <w:sz w:val="24"/>
                <w:szCs w:val="24"/>
                <w:u w:val="none"/>
                <w:lang w:val="en-US" w:eastAsia="zh-CN" w:bidi="ar"/>
              </w:rPr>
              <w:t>2024</w:t>
            </w:r>
            <w:r>
              <w:rPr>
                <w:rFonts w:hint="default" w:ascii="宋体" w:hAnsi="宋体" w:eastAsia="宋体" w:cs="宋体"/>
                <w:i w:val="0"/>
                <w:iCs w:val="0"/>
                <w:color w:val="000000"/>
                <w:kern w:val="0"/>
                <w:sz w:val="24"/>
                <w:szCs w:val="24"/>
                <w:u w:val="none"/>
                <w:lang w:val="en-US" w:eastAsia="zh-CN" w:bidi="ar"/>
              </w:rPr>
              <w:t>中第6.4条的要求；外壳的阻燃等级</w:t>
            </w:r>
            <w:r>
              <w:rPr>
                <w:rFonts w:hint="eastAsia" w:ascii="宋体" w:hAnsi="宋体" w:eastAsia="宋体" w:cs="宋体"/>
                <w:i w:val="0"/>
                <w:iCs w:val="0"/>
                <w:color w:val="000000"/>
                <w:kern w:val="0"/>
                <w:sz w:val="24"/>
                <w:szCs w:val="24"/>
                <w:u w:val="none"/>
                <w:lang w:val="en-US" w:eastAsia="zh-CN" w:bidi="ar"/>
              </w:rPr>
              <w:t>不低于</w:t>
            </w:r>
            <w:r>
              <w:rPr>
                <w:rFonts w:hint="default" w:ascii="宋体" w:hAnsi="宋体" w:eastAsia="宋体" w:cs="宋体"/>
                <w:i w:val="0"/>
                <w:iCs w:val="0"/>
                <w:color w:val="000000"/>
                <w:kern w:val="0"/>
                <w:sz w:val="24"/>
                <w:szCs w:val="24"/>
                <w:u w:val="none"/>
                <w:lang w:val="en-US" w:eastAsia="zh-CN" w:bidi="ar"/>
              </w:rPr>
              <w:t>V-0级</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3、端电压均衡性，开路最高与最低差值应≤6mV，进入浮充状态24h后端电压差≤43mV,放电，端电压差≤88mV；电池间连接电压降，5.5I10放电条件下，△U应≤3.7mV</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4、过度放电容量恢复值应≥98.6%，恒压充电24h的再充电能力因素应≥93.6%；低温敏感性实验结束后，10h率容量应≥99.2%C10。</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节</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电池箱</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专用电池箱，标配开关配件和电池连接线，可拆装式全开放式结构</w:t>
            </w:r>
            <w:r>
              <w:rPr>
                <w:rFonts w:hint="eastAsia" w:ascii="宋体" w:hAnsi="宋体" w:eastAsia="宋体" w:cs="宋体"/>
                <w:i w:val="0"/>
                <w:iCs w:val="0"/>
                <w:color w:val="000000"/>
                <w:kern w:val="0"/>
                <w:sz w:val="24"/>
                <w:szCs w:val="24"/>
                <w:u w:val="none"/>
                <w:lang w:val="en-US" w:eastAsia="zh-CN" w:bidi="ar"/>
              </w:rPr>
              <w:t>，</w:t>
            </w:r>
            <w:r>
              <w:rPr>
                <w:rFonts w:hint="default" w:ascii="宋体" w:hAnsi="宋体" w:eastAsia="宋体" w:cs="宋体"/>
                <w:i w:val="0"/>
                <w:iCs w:val="0"/>
                <w:color w:val="000000"/>
                <w:kern w:val="0"/>
                <w:sz w:val="24"/>
                <w:szCs w:val="24"/>
                <w:u w:val="none"/>
                <w:lang w:val="en-US" w:eastAsia="zh-CN" w:bidi="ar"/>
              </w:rPr>
              <w:t>柜体采用金属成型。</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套</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▲智能网络球机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1、支持POE和DC36V；</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2、不低于400万25倍光学变倍，不低于16倍数字变倍；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3、适用于交通道路、广场、公园、出入口、园区周界等场景；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4、设备支持人车检测信息叠加至码流；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5、采用高效补光阵列，红外补光不低于150m，白光补光不低于100m；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6、支持区域入侵、越界等智能侦测并联动跟随；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7、支持最大不低于2560×1440@30fps高清画面输出；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8、支持双mic功能；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9、内置加热玻璃，有效除雾；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10、支持不低于1进1出音频接口、最大支持不低于512G microSD卡存储。</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监控专用立杆</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含浇筑基础</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4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监控专用交换机</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交换容量≥96Gbps，包转发率≥11.2Mpps；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2、端口类型≥5个10/100/1000 Base-T端口，≥1个1G/2.5G SFP端口；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3、支持DHCP Snooping，可防私接；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4、支持基于端口的VLAN；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5、支持广播风暴抑制、未知单播抑制、多播风暴抑制、支持黑洞MAC；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6、APP远程管理，随时随地查看网络状态、进行参数配置修改以及故障排查。</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室外防水箱</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仿宋_GB2312"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室外不锈钢防水，尺寸：400高*300宽*200深</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不低于8000G SATA3.0</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一分二切换器</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一分二切换器</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一分四切换器</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一分二切换器</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网线</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采用无氧铜芯；</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2、支持千兆以太网信号传输；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3、阻燃线缆；</w:t>
            </w:r>
            <w:bookmarkStart w:id="8" w:name="_GoBack"/>
            <w:bookmarkEnd w:id="8"/>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4、均匀双绞结构。</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箱（每箱305米标准）</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018"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电源线</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2*1.5无氧铜线芯</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卷（每卷200米标准）</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pvc20线管</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耐火</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4芯光纤</w:t>
            </w:r>
          </w:p>
        </w:tc>
        <w:tc>
          <w:tcPr>
            <w:tcW w:w="57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1、单模 (G.652.D)  (OM2/OM1)；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2、纤芯/包层直径 9 μm / 125 μm 50 μm 或 62.5 μm / 125 μm；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3、工作波长 1310 nm、1550 nm 850 nm、1300 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4、典型衰减 ≤0.36 dB/km @1310 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5、≤0.22 dB/km @1550 nm ≤3.0 dB/km @850 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6、≤1.0 dB/km @1300 nm。</w:t>
            </w:r>
          </w:p>
        </w:tc>
        <w:tc>
          <w:tcPr>
            <w:tcW w:w="6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r>
      <w:bookmarkEnd w:id="5"/>
      <w:bookmarkEnd w:id="6"/>
    </w:tbl>
    <w:p>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、备品备件及专用工具</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1、备品备件：中标人提供能够满足质量保证期内的设备维修要求的备品备件，备品备件应是新品。</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2、专用工具：中标人提供设备安装、调试、验收、维修、保养所必要的专用工具、仪器、仪表等工具。</w:t>
      </w:r>
    </w:p>
    <w:p>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、安装调试、验收试验及质量保证</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1、中标人在设备安装地点负责安装、调试。</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2、具体设备验收标准和程序按采购人要求执行，下列验收程序可参照执行：</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采购人和相关部门按照招标文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所有需要质检部门进行检测才能使用的设备，投标报价中必须包含首次检测费用。</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货物在验收时，中标人应提供发票、制造厂家出具的产品合格证书、装箱清单等,涉及进口的部件须提供中国海关进口货物报关单、完税证明及商检证明等材料；提供有关货物的保养修理所需的各种随机工具及全部有关技术文件（外文应提供中文翻译资料，下同）、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中标人应根据采购人使用单位的技术要求提供相应的产品。由中标人所提供的设备部件间的连线和插接件均应视为设备内部器件，包含在相应的设备之中。</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运行测试及最终验收。在系统安装、调试结束后，采购人对其进行全面的测试，对测试中暴露出来的问题，中标人应及时进行整改，系统最终测试完毕经验收合格后，采购人应向中标人签发最终验收证明。</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中标人应向采购人提供安装调试过程中的各种文档资料,以便采购人今后能掌握操作和维护方法。依据合同与合同有关条件、本招标文件的技术规范、系统配置要求、设备技术文件和系统说明书，以及国家和省部级等要求进行验收，验收分为预验收和竣工验收。</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3、如设备在验收时有一个或多个指标未能达到要求而属于中标人责任时，则中标人自费采取有效措施，在规定时间内使之达到保证指标。如在规定的时间内仍达不到合格标准时，则中标人应向采购人赔偿。</w:t>
      </w:r>
    </w:p>
    <w:p>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、包装运输</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1、中标人负责设备包装、办理运输和保险，将设备安全运抵交货地点。</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2、设备制造完成并通过试验后应及时包装，否则应得到切实的保护，确保其不受污损。</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3、在包装箱外应标明采购人的订货号、发货号。</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4、各种包装应能确保各零部件在运输过程中不致遭到损坏、丢失、变形、受潮和腐蚀。</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5、包装箱上应有明显的包装储运图示标志。</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6、整体产品或分别运输的部件都要适应运输和装载的要求。</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7、随产品提供的技术资料应完整无缺。</w:t>
      </w:r>
    </w:p>
    <w:p>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、技术培训</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1、为使合同设备能正常安装和运行，由中标人提供相应的技术培训，并免收采购人培训费用。培训内容应与工程进度相一致。</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2、培训的时间、人数、地点等具体内容由买卖双方商定，内容至少包括：设备原理、使用、维护、运行操作、常见故障处理等。</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3、采购清单里有特别规定的，以采购清单中的需求为准。</w:t>
      </w:r>
    </w:p>
    <w:p>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、质保及售后服务</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1、自双方签订《验收报告》起进入免费质保期。</w:t>
      </w:r>
    </w:p>
    <w:p>
      <w:pPr>
        <w:keepNext w:val="0"/>
        <w:keepLines w:val="0"/>
        <w:pageBreakBefore w:val="0"/>
        <w:kinsoku/>
        <w:wordWrap/>
        <w:overflowPunct/>
        <w:topLinePunct w:val="0"/>
        <w:autoSpaceDE/>
        <w:autoSpaceDN/>
        <w:bidi w:val="0"/>
        <w:adjustRightInd/>
        <w:snapToGrid/>
        <w:spacing w:line="360" w:lineRule="auto"/>
        <w:ind w:firstLine="437"/>
        <w:outlineLvl w:val="1"/>
        <w:rPr>
          <w:rFonts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2、在质保期间内，非采购人过失和故意并且在正常使用的情况下发现商品有缺陷，中标人将免费修理或替换该设备；在质保期间内，非采购人过失和故意并且在正常使用的情况下设备发生故障，中标人应及时提供免费服务</w:t>
      </w:r>
      <w:r>
        <w:rPr>
          <w:rFonts w:hint="eastAsia" w:ascii="宋体" w:hAnsi="宋体" w:eastAsia="宋体" w:cs="宋体"/>
          <w:bCs/>
          <w:color w:val="auto"/>
          <w:sz w:val="24"/>
          <w:szCs w:val="24"/>
          <w:highlight w:val="none"/>
        </w:rPr>
        <w:t>。</w:t>
      </w:r>
      <w:bookmarkEnd w:id="7"/>
    </w:p>
    <w:sectPr>
      <w:headerReference r:id="rId5" w:type="default"/>
      <w:footerReference r:id="rId6" w:type="default"/>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宋体">
    <w:panose1 w:val="02010600030101010101"/>
    <w:charset w:val="86"/>
    <w:family w:val="auto"/>
    <w:pitch w:val="default"/>
    <w:sig w:usb0="00000203" w:usb1="288F0000" w:usb2="0000000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18"/>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left"/>
      <w:rPr>
        <w:rFonts w:hint="default" w:eastAsia="@仿宋_GB2312"/>
        <w:lang w:val="en-US" w:eastAsia="zh-CN"/>
      </w:rPr>
    </w:pPr>
    <w:r>
      <w:rPr>
        <w:rFonts w:hint="eastAsia" w:ascii="宋体" w:hAnsi="宋体" w:eastAsia="宋体" w:cs="宋体"/>
        <w:lang w:val="en-US" w:eastAsia="zh-CN"/>
      </w:rPr>
      <w:t>公开招标文件（货物类）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lYjQzMDhiYzA3NWZlODA5OTkxMDRiNDU3ZjExNjEifQ=="/>
  </w:docVars>
  <w:rsids>
    <w:rsidRoot w:val="00276BA1"/>
    <w:rsid w:val="0000043F"/>
    <w:rsid w:val="00003F56"/>
    <w:rsid w:val="000049DA"/>
    <w:rsid w:val="00004F40"/>
    <w:rsid w:val="000056B7"/>
    <w:rsid w:val="00012A13"/>
    <w:rsid w:val="000131F7"/>
    <w:rsid w:val="00016B6C"/>
    <w:rsid w:val="00017EC7"/>
    <w:rsid w:val="00020B57"/>
    <w:rsid w:val="00033B5B"/>
    <w:rsid w:val="00037DBE"/>
    <w:rsid w:val="00042139"/>
    <w:rsid w:val="00042B14"/>
    <w:rsid w:val="00044347"/>
    <w:rsid w:val="00044F49"/>
    <w:rsid w:val="000450C3"/>
    <w:rsid w:val="00046AFF"/>
    <w:rsid w:val="00050A3F"/>
    <w:rsid w:val="000530EC"/>
    <w:rsid w:val="000544DE"/>
    <w:rsid w:val="000648D2"/>
    <w:rsid w:val="00070E0E"/>
    <w:rsid w:val="00076DB7"/>
    <w:rsid w:val="00080B7B"/>
    <w:rsid w:val="00080FEB"/>
    <w:rsid w:val="00081B81"/>
    <w:rsid w:val="000868D6"/>
    <w:rsid w:val="000942BA"/>
    <w:rsid w:val="00094D41"/>
    <w:rsid w:val="00097CB9"/>
    <w:rsid w:val="000A3569"/>
    <w:rsid w:val="000A4640"/>
    <w:rsid w:val="000A6345"/>
    <w:rsid w:val="000A6693"/>
    <w:rsid w:val="000A6B73"/>
    <w:rsid w:val="000A7D94"/>
    <w:rsid w:val="000B1511"/>
    <w:rsid w:val="000B54F4"/>
    <w:rsid w:val="000C1DB1"/>
    <w:rsid w:val="000D3F37"/>
    <w:rsid w:val="000D431F"/>
    <w:rsid w:val="000E2208"/>
    <w:rsid w:val="000E3C74"/>
    <w:rsid w:val="000E3F9B"/>
    <w:rsid w:val="000E6689"/>
    <w:rsid w:val="000F00A3"/>
    <w:rsid w:val="000F014C"/>
    <w:rsid w:val="000F172B"/>
    <w:rsid w:val="000F1C24"/>
    <w:rsid w:val="000F2198"/>
    <w:rsid w:val="000F39B6"/>
    <w:rsid w:val="000F6B7B"/>
    <w:rsid w:val="00100B0F"/>
    <w:rsid w:val="0010187C"/>
    <w:rsid w:val="001037E3"/>
    <w:rsid w:val="00110911"/>
    <w:rsid w:val="00116A70"/>
    <w:rsid w:val="0012143A"/>
    <w:rsid w:val="001222C6"/>
    <w:rsid w:val="00136D80"/>
    <w:rsid w:val="00137C7C"/>
    <w:rsid w:val="00140687"/>
    <w:rsid w:val="00141707"/>
    <w:rsid w:val="00142AAF"/>
    <w:rsid w:val="00146421"/>
    <w:rsid w:val="001467FF"/>
    <w:rsid w:val="001479CF"/>
    <w:rsid w:val="00150567"/>
    <w:rsid w:val="00155F64"/>
    <w:rsid w:val="00157148"/>
    <w:rsid w:val="00157856"/>
    <w:rsid w:val="00160729"/>
    <w:rsid w:val="00160D83"/>
    <w:rsid w:val="001644D1"/>
    <w:rsid w:val="00164D27"/>
    <w:rsid w:val="00166ED8"/>
    <w:rsid w:val="001714C9"/>
    <w:rsid w:val="001754E2"/>
    <w:rsid w:val="00177DAF"/>
    <w:rsid w:val="0018119B"/>
    <w:rsid w:val="001812B3"/>
    <w:rsid w:val="00181D07"/>
    <w:rsid w:val="001826D0"/>
    <w:rsid w:val="00183344"/>
    <w:rsid w:val="00183897"/>
    <w:rsid w:val="001844AB"/>
    <w:rsid w:val="00190F1F"/>
    <w:rsid w:val="001944B8"/>
    <w:rsid w:val="00195399"/>
    <w:rsid w:val="00196DA3"/>
    <w:rsid w:val="00197AC4"/>
    <w:rsid w:val="001A0DCD"/>
    <w:rsid w:val="001A5D34"/>
    <w:rsid w:val="001A68E5"/>
    <w:rsid w:val="001B21DF"/>
    <w:rsid w:val="001B2A54"/>
    <w:rsid w:val="001B5014"/>
    <w:rsid w:val="001B7327"/>
    <w:rsid w:val="001C1409"/>
    <w:rsid w:val="001C67F2"/>
    <w:rsid w:val="001D53B4"/>
    <w:rsid w:val="001E744D"/>
    <w:rsid w:val="001F28D2"/>
    <w:rsid w:val="001F2F45"/>
    <w:rsid w:val="001F3023"/>
    <w:rsid w:val="001F35F6"/>
    <w:rsid w:val="001F74CA"/>
    <w:rsid w:val="002003B6"/>
    <w:rsid w:val="002020CB"/>
    <w:rsid w:val="002049B4"/>
    <w:rsid w:val="0020520B"/>
    <w:rsid w:val="00213C55"/>
    <w:rsid w:val="002163CF"/>
    <w:rsid w:val="002168C4"/>
    <w:rsid w:val="002178B1"/>
    <w:rsid w:val="00223CF4"/>
    <w:rsid w:val="00224C4A"/>
    <w:rsid w:val="002338E2"/>
    <w:rsid w:val="0023407E"/>
    <w:rsid w:val="00240B40"/>
    <w:rsid w:val="002440D8"/>
    <w:rsid w:val="00244182"/>
    <w:rsid w:val="00245F65"/>
    <w:rsid w:val="00246810"/>
    <w:rsid w:val="00260860"/>
    <w:rsid w:val="00260B94"/>
    <w:rsid w:val="00264F2E"/>
    <w:rsid w:val="00271245"/>
    <w:rsid w:val="00272E6E"/>
    <w:rsid w:val="00274A9E"/>
    <w:rsid w:val="00276292"/>
    <w:rsid w:val="00276BA1"/>
    <w:rsid w:val="00277094"/>
    <w:rsid w:val="00286BB6"/>
    <w:rsid w:val="002A1A1D"/>
    <w:rsid w:val="002A28AD"/>
    <w:rsid w:val="002A3AEE"/>
    <w:rsid w:val="002A400A"/>
    <w:rsid w:val="002B08E7"/>
    <w:rsid w:val="002B0C18"/>
    <w:rsid w:val="002B5318"/>
    <w:rsid w:val="002B5373"/>
    <w:rsid w:val="002B6D27"/>
    <w:rsid w:val="002C00F0"/>
    <w:rsid w:val="002C3776"/>
    <w:rsid w:val="002C4BA9"/>
    <w:rsid w:val="002D1258"/>
    <w:rsid w:val="002D128A"/>
    <w:rsid w:val="002D2965"/>
    <w:rsid w:val="002D3D02"/>
    <w:rsid w:val="002D4CB5"/>
    <w:rsid w:val="002D684B"/>
    <w:rsid w:val="002E3B26"/>
    <w:rsid w:val="002E4AB8"/>
    <w:rsid w:val="002F092B"/>
    <w:rsid w:val="002F5981"/>
    <w:rsid w:val="002F72EE"/>
    <w:rsid w:val="00310070"/>
    <w:rsid w:val="003110EC"/>
    <w:rsid w:val="00313029"/>
    <w:rsid w:val="00324D38"/>
    <w:rsid w:val="00327C92"/>
    <w:rsid w:val="0033245B"/>
    <w:rsid w:val="00333292"/>
    <w:rsid w:val="003344E7"/>
    <w:rsid w:val="0033580B"/>
    <w:rsid w:val="0033628B"/>
    <w:rsid w:val="003365E7"/>
    <w:rsid w:val="003378D5"/>
    <w:rsid w:val="003419E9"/>
    <w:rsid w:val="003447AE"/>
    <w:rsid w:val="003473D7"/>
    <w:rsid w:val="00351AC8"/>
    <w:rsid w:val="00353075"/>
    <w:rsid w:val="00363E02"/>
    <w:rsid w:val="0037135C"/>
    <w:rsid w:val="00373A96"/>
    <w:rsid w:val="003826C2"/>
    <w:rsid w:val="00383728"/>
    <w:rsid w:val="00383B8D"/>
    <w:rsid w:val="00391586"/>
    <w:rsid w:val="00394128"/>
    <w:rsid w:val="003947A4"/>
    <w:rsid w:val="00395235"/>
    <w:rsid w:val="0039561A"/>
    <w:rsid w:val="00397C7D"/>
    <w:rsid w:val="003A004F"/>
    <w:rsid w:val="003B4130"/>
    <w:rsid w:val="003B67D3"/>
    <w:rsid w:val="003B6C76"/>
    <w:rsid w:val="003B715B"/>
    <w:rsid w:val="003C4630"/>
    <w:rsid w:val="003D1D14"/>
    <w:rsid w:val="003D6C7C"/>
    <w:rsid w:val="003D6EFB"/>
    <w:rsid w:val="003D7E52"/>
    <w:rsid w:val="003E25C6"/>
    <w:rsid w:val="003E6BEB"/>
    <w:rsid w:val="003F145B"/>
    <w:rsid w:val="003F2122"/>
    <w:rsid w:val="003F326A"/>
    <w:rsid w:val="004011AA"/>
    <w:rsid w:val="0040202C"/>
    <w:rsid w:val="00406508"/>
    <w:rsid w:val="0041456E"/>
    <w:rsid w:val="00414F7E"/>
    <w:rsid w:val="004164F8"/>
    <w:rsid w:val="00417FD0"/>
    <w:rsid w:val="00420B7F"/>
    <w:rsid w:val="004234BA"/>
    <w:rsid w:val="0042488B"/>
    <w:rsid w:val="004427B7"/>
    <w:rsid w:val="0044349F"/>
    <w:rsid w:val="00445F1F"/>
    <w:rsid w:val="00451F60"/>
    <w:rsid w:val="00452BB2"/>
    <w:rsid w:val="00455467"/>
    <w:rsid w:val="0045656D"/>
    <w:rsid w:val="00462D98"/>
    <w:rsid w:val="00472A44"/>
    <w:rsid w:val="00473A89"/>
    <w:rsid w:val="00474D3B"/>
    <w:rsid w:val="00475899"/>
    <w:rsid w:val="004802A8"/>
    <w:rsid w:val="00482C78"/>
    <w:rsid w:val="004874AE"/>
    <w:rsid w:val="00492E2B"/>
    <w:rsid w:val="00494D24"/>
    <w:rsid w:val="004951D1"/>
    <w:rsid w:val="004A27D0"/>
    <w:rsid w:val="004A4D67"/>
    <w:rsid w:val="004A6FD2"/>
    <w:rsid w:val="004B2D4C"/>
    <w:rsid w:val="004C7378"/>
    <w:rsid w:val="004D1030"/>
    <w:rsid w:val="004D3D4B"/>
    <w:rsid w:val="004D5498"/>
    <w:rsid w:val="004D66A5"/>
    <w:rsid w:val="004D6B00"/>
    <w:rsid w:val="004D7951"/>
    <w:rsid w:val="004E0AE0"/>
    <w:rsid w:val="004E1D50"/>
    <w:rsid w:val="004E502F"/>
    <w:rsid w:val="004F0396"/>
    <w:rsid w:val="00501382"/>
    <w:rsid w:val="00503E2F"/>
    <w:rsid w:val="005054B9"/>
    <w:rsid w:val="00506E4F"/>
    <w:rsid w:val="00510798"/>
    <w:rsid w:val="00514ED8"/>
    <w:rsid w:val="00515F12"/>
    <w:rsid w:val="00522B2E"/>
    <w:rsid w:val="00524A11"/>
    <w:rsid w:val="00527768"/>
    <w:rsid w:val="005327FB"/>
    <w:rsid w:val="00533FCA"/>
    <w:rsid w:val="00541C0B"/>
    <w:rsid w:val="0054317E"/>
    <w:rsid w:val="00544C2A"/>
    <w:rsid w:val="00546D49"/>
    <w:rsid w:val="00556D4C"/>
    <w:rsid w:val="005614B4"/>
    <w:rsid w:val="005616B5"/>
    <w:rsid w:val="00571315"/>
    <w:rsid w:val="00582075"/>
    <w:rsid w:val="00584A63"/>
    <w:rsid w:val="00585EB3"/>
    <w:rsid w:val="00591688"/>
    <w:rsid w:val="00592509"/>
    <w:rsid w:val="00594986"/>
    <w:rsid w:val="00597B15"/>
    <w:rsid w:val="005A044C"/>
    <w:rsid w:val="005A3079"/>
    <w:rsid w:val="005B5C95"/>
    <w:rsid w:val="005B6740"/>
    <w:rsid w:val="005D0200"/>
    <w:rsid w:val="005D44EF"/>
    <w:rsid w:val="005D4814"/>
    <w:rsid w:val="005D5112"/>
    <w:rsid w:val="005F03E3"/>
    <w:rsid w:val="005F3914"/>
    <w:rsid w:val="005F3B5A"/>
    <w:rsid w:val="005F6AB4"/>
    <w:rsid w:val="00610A66"/>
    <w:rsid w:val="00613177"/>
    <w:rsid w:val="00613F7C"/>
    <w:rsid w:val="00614BF2"/>
    <w:rsid w:val="0061618E"/>
    <w:rsid w:val="00620560"/>
    <w:rsid w:val="006208CB"/>
    <w:rsid w:val="00623DE2"/>
    <w:rsid w:val="00627601"/>
    <w:rsid w:val="006300D0"/>
    <w:rsid w:val="00632012"/>
    <w:rsid w:val="00634694"/>
    <w:rsid w:val="00635F9D"/>
    <w:rsid w:val="00636517"/>
    <w:rsid w:val="00637690"/>
    <w:rsid w:val="00640E1E"/>
    <w:rsid w:val="0064389A"/>
    <w:rsid w:val="00645442"/>
    <w:rsid w:val="006525CD"/>
    <w:rsid w:val="00653353"/>
    <w:rsid w:val="00653F7F"/>
    <w:rsid w:val="00662EA5"/>
    <w:rsid w:val="00662EE8"/>
    <w:rsid w:val="00663813"/>
    <w:rsid w:val="00663C3B"/>
    <w:rsid w:val="00664AFD"/>
    <w:rsid w:val="00667567"/>
    <w:rsid w:val="0067391A"/>
    <w:rsid w:val="00674173"/>
    <w:rsid w:val="00674602"/>
    <w:rsid w:val="0067535A"/>
    <w:rsid w:val="00683CA0"/>
    <w:rsid w:val="00690DB1"/>
    <w:rsid w:val="00693404"/>
    <w:rsid w:val="006953D9"/>
    <w:rsid w:val="00697FE9"/>
    <w:rsid w:val="006A5FEE"/>
    <w:rsid w:val="006B1242"/>
    <w:rsid w:val="006B1DBC"/>
    <w:rsid w:val="006B63B7"/>
    <w:rsid w:val="006B7D9A"/>
    <w:rsid w:val="006C06D9"/>
    <w:rsid w:val="006C464F"/>
    <w:rsid w:val="006C5716"/>
    <w:rsid w:val="006C74A9"/>
    <w:rsid w:val="006D07DE"/>
    <w:rsid w:val="006D394E"/>
    <w:rsid w:val="006E06D9"/>
    <w:rsid w:val="006E1D40"/>
    <w:rsid w:val="006E2E1F"/>
    <w:rsid w:val="006E4BE8"/>
    <w:rsid w:val="006F5FFF"/>
    <w:rsid w:val="006F6E33"/>
    <w:rsid w:val="006F7AF3"/>
    <w:rsid w:val="00702CF1"/>
    <w:rsid w:val="00703635"/>
    <w:rsid w:val="007054AA"/>
    <w:rsid w:val="00706D4B"/>
    <w:rsid w:val="00707B8C"/>
    <w:rsid w:val="00710804"/>
    <w:rsid w:val="00711FC6"/>
    <w:rsid w:val="007130B1"/>
    <w:rsid w:val="00715071"/>
    <w:rsid w:val="0072140F"/>
    <w:rsid w:val="007231E9"/>
    <w:rsid w:val="00727C59"/>
    <w:rsid w:val="00734E5D"/>
    <w:rsid w:val="00735AF1"/>
    <w:rsid w:val="00736013"/>
    <w:rsid w:val="00737661"/>
    <w:rsid w:val="00755D75"/>
    <w:rsid w:val="00756245"/>
    <w:rsid w:val="0076130F"/>
    <w:rsid w:val="00761662"/>
    <w:rsid w:val="00764043"/>
    <w:rsid w:val="007757CF"/>
    <w:rsid w:val="00776FFC"/>
    <w:rsid w:val="0078128F"/>
    <w:rsid w:val="0078683C"/>
    <w:rsid w:val="00790EDB"/>
    <w:rsid w:val="00791538"/>
    <w:rsid w:val="007918F0"/>
    <w:rsid w:val="0079326E"/>
    <w:rsid w:val="00796EDE"/>
    <w:rsid w:val="00797A02"/>
    <w:rsid w:val="007A27A9"/>
    <w:rsid w:val="007A5A58"/>
    <w:rsid w:val="007A6740"/>
    <w:rsid w:val="007B1C56"/>
    <w:rsid w:val="007B4996"/>
    <w:rsid w:val="007C3CD5"/>
    <w:rsid w:val="007C61EF"/>
    <w:rsid w:val="007D1C0D"/>
    <w:rsid w:val="007D2D23"/>
    <w:rsid w:val="007D7644"/>
    <w:rsid w:val="007E27D6"/>
    <w:rsid w:val="007E3921"/>
    <w:rsid w:val="007E5DDE"/>
    <w:rsid w:val="00801028"/>
    <w:rsid w:val="00802CE2"/>
    <w:rsid w:val="00803793"/>
    <w:rsid w:val="0080643F"/>
    <w:rsid w:val="00814052"/>
    <w:rsid w:val="008149FD"/>
    <w:rsid w:val="00817A01"/>
    <w:rsid w:val="00824F21"/>
    <w:rsid w:val="0082500C"/>
    <w:rsid w:val="00825E35"/>
    <w:rsid w:val="008334F8"/>
    <w:rsid w:val="008341AA"/>
    <w:rsid w:val="00835D8E"/>
    <w:rsid w:val="008372F6"/>
    <w:rsid w:val="008377CA"/>
    <w:rsid w:val="00844D03"/>
    <w:rsid w:val="00847B0F"/>
    <w:rsid w:val="00852994"/>
    <w:rsid w:val="00873D89"/>
    <w:rsid w:val="00876659"/>
    <w:rsid w:val="00876677"/>
    <w:rsid w:val="0087734C"/>
    <w:rsid w:val="0088204B"/>
    <w:rsid w:val="00882141"/>
    <w:rsid w:val="00887E3B"/>
    <w:rsid w:val="008922A8"/>
    <w:rsid w:val="00895728"/>
    <w:rsid w:val="00895BD5"/>
    <w:rsid w:val="0089742B"/>
    <w:rsid w:val="008A16C4"/>
    <w:rsid w:val="008A6FED"/>
    <w:rsid w:val="008B39C5"/>
    <w:rsid w:val="008B51AA"/>
    <w:rsid w:val="008B7932"/>
    <w:rsid w:val="008C4704"/>
    <w:rsid w:val="008C67F2"/>
    <w:rsid w:val="008D064A"/>
    <w:rsid w:val="008D0FDB"/>
    <w:rsid w:val="008D2B0F"/>
    <w:rsid w:val="008D30BC"/>
    <w:rsid w:val="008D4BC4"/>
    <w:rsid w:val="008E449E"/>
    <w:rsid w:val="008E7062"/>
    <w:rsid w:val="008F187F"/>
    <w:rsid w:val="008F402F"/>
    <w:rsid w:val="008F55FA"/>
    <w:rsid w:val="008F76E8"/>
    <w:rsid w:val="008F7CD0"/>
    <w:rsid w:val="00902902"/>
    <w:rsid w:val="00902A4B"/>
    <w:rsid w:val="009078A1"/>
    <w:rsid w:val="00911E9C"/>
    <w:rsid w:val="00915083"/>
    <w:rsid w:val="00917405"/>
    <w:rsid w:val="00920035"/>
    <w:rsid w:val="00920F7C"/>
    <w:rsid w:val="00934CAE"/>
    <w:rsid w:val="0094257D"/>
    <w:rsid w:val="00942F60"/>
    <w:rsid w:val="0095211B"/>
    <w:rsid w:val="0095467C"/>
    <w:rsid w:val="00954A61"/>
    <w:rsid w:val="00955C6F"/>
    <w:rsid w:val="00966C7B"/>
    <w:rsid w:val="009701DC"/>
    <w:rsid w:val="009715D8"/>
    <w:rsid w:val="00980D0D"/>
    <w:rsid w:val="00985C4B"/>
    <w:rsid w:val="00995BF9"/>
    <w:rsid w:val="00997C3C"/>
    <w:rsid w:val="009A0CAF"/>
    <w:rsid w:val="009A1474"/>
    <w:rsid w:val="009A2207"/>
    <w:rsid w:val="009A5147"/>
    <w:rsid w:val="009A74C4"/>
    <w:rsid w:val="009B02D2"/>
    <w:rsid w:val="009B6C42"/>
    <w:rsid w:val="009D31F7"/>
    <w:rsid w:val="009D32C2"/>
    <w:rsid w:val="009D50DB"/>
    <w:rsid w:val="009E3A0A"/>
    <w:rsid w:val="009F26D4"/>
    <w:rsid w:val="009F3E91"/>
    <w:rsid w:val="009F6CE7"/>
    <w:rsid w:val="009F7D7D"/>
    <w:rsid w:val="00A01670"/>
    <w:rsid w:val="00A1499B"/>
    <w:rsid w:val="00A20879"/>
    <w:rsid w:val="00A20AFC"/>
    <w:rsid w:val="00A23E47"/>
    <w:rsid w:val="00A314C2"/>
    <w:rsid w:val="00A43B9C"/>
    <w:rsid w:val="00A53155"/>
    <w:rsid w:val="00A56FFA"/>
    <w:rsid w:val="00A63E86"/>
    <w:rsid w:val="00A65A1C"/>
    <w:rsid w:val="00A757C3"/>
    <w:rsid w:val="00A75E5B"/>
    <w:rsid w:val="00A7684A"/>
    <w:rsid w:val="00A82AED"/>
    <w:rsid w:val="00A83B69"/>
    <w:rsid w:val="00A86533"/>
    <w:rsid w:val="00A91176"/>
    <w:rsid w:val="00A9176A"/>
    <w:rsid w:val="00A91CA2"/>
    <w:rsid w:val="00A92FB8"/>
    <w:rsid w:val="00A948F1"/>
    <w:rsid w:val="00AA1D7D"/>
    <w:rsid w:val="00AA7525"/>
    <w:rsid w:val="00AB0EA9"/>
    <w:rsid w:val="00AB139D"/>
    <w:rsid w:val="00AB2C46"/>
    <w:rsid w:val="00AB3EFB"/>
    <w:rsid w:val="00AB5EF7"/>
    <w:rsid w:val="00AC0B05"/>
    <w:rsid w:val="00AC763F"/>
    <w:rsid w:val="00AD079A"/>
    <w:rsid w:val="00AD1890"/>
    <w:rsid w:val="00AE2149"/>
    <w:rsid w:val="00AE33AE"/>
    <w:rsid w:val="00AE3785"/>
    <w:rsid w:val="00AE3F91"/>
    <w:rsid w:val="00AE452F"/>
    <w:rsid w:val="00AE76E6"/>
    <w:rsid w:val="00B00ACC"/>
    <w:rsid w:val="00B039E3"/>
    <w:rsid w:val="00B043C1"/>
    <w:rsid w:val="00B22838"/>
    <w:rsid w:val="00B27D52"/>
    <w:rsid w:val="00B32BC1"/>
    <w:rsid w:val="00B33E95"/>
    <w:rsid w:val="00B34EE1"/>
    <w:rsid w:val="00B35B5E"/>
    <w:rsid w:val="00B3720B"/>
    <w:rsid w:val="00B40EE3"/>
    <w:rsid w:val="00B4535A"/>
    <w:rsid w:val="00B55271"/>
    <w:rsid w:val="00B5558A"/>
    <w:rsid w:val="00B56513"/>
    <w:rsid w:val="00B56B2E"/>
    <w:rsid w:val="00B64376"/>
    <w:rsid w:val="00B71533"/>
    <w:rsid w:val="00B7401F"/>
    <w:rsid w:val="00B806C3"/>
    <w:rsid w:val="00B838F5"/>
    <w:rsid w:val="00B84FCA"/>
    <w:rsid w:val="00B9089F"/>
    <w:rsid w:val="00B91AEE"/>
    <w:rsid w:val="00B94F71"/>
    <w:rsid w:val="00B95F5A"/>
    <w:rsid w:val="00B96EAD"/>
    <w:rsid w:val="00BA22AF"/>
    <w:rsid w:val="00BA4B42"/>
    <w:rsid w:val="00BA79F5"/>
    <w:rsid w:val="00BB02E8"/>
    <w:rsid w:val="00BB3AB6"/>
    <w:rsid w:val="00BB766D"/>
    <w:rsid w:val="00BC007B"/>
    <w:rsid w:val="00BC15E7"/>
    <w:rsid w:val="00BC26BA"/>
    <w:rsid w:val="00BC35F8"/>
    <w:rsid w:val="00BC49BF"/>
    <w:rsid w:val="00BC5043"/>
    <w:rsid w:val="00BC7140"/>
    <w:rsid w:val="00BD1B89"/>
    <w:rsid w:val="00BD3944"/>
    <w:rsid w:val="00BF376F"/>
    <w:rsid w:val="00BF46A6"/>
    <w:rsid w:val="00BF62CF"/>
    <w:rsid w:val="00BF6B98"/>
    <w:rsid w:val="00BF73D6"/>
    <w:rsid w:val="00C06545"/>
    <w:rsid w:val="00C1161C"/>
    <w:rsid w:val="00C17F66"/>
    <w:rsid w:val="00C220FC"/>
    <w:rsid w:val="00C23C86"/>
    <w:rsid w:val="00C24DFA"/>
    <w:rsid w:val="00C35561"/>
    <w:rsid w:val="00C4202A"/>
    <w:rsid w:val="00C4211F"/>
    <w:rsid w:val="00C46A36"/>
    <w:rsid w:val="00C47037"/>
    <w:rsid w:val="00C53625"/>
    <w:rsid w:val="00C602C1"/>
    <w:rsid w:val="00C61C98"/>
    <w:rsid w:val="00C63FC0"/>
    <w:rsid w:val="00C66392"/>
    <w:rsid w:val="00C74C5E"/>
    <w:rsid w:val="00C77487"/>
    <w:rsid w:val="00C827A2"/>
    <w:rsid w:val="00C82B69"/>
    <w:rsid w:val="00C85394"/>
    <w:rsid w:val="00C8657D"/>
    <w:rsid w:val="00C91B28"/>
    <w:rsid w:val="00C91F3A"/>
    <w:rsid w:val="00C94A6F"/>
    <w:rsid w:val="00CA06E3"/>
    <w:rsid w:val="00CB328B"/>
    <w:rsid w:val="00CB5797"/>
    <w:rsid w:val="00CB6050"/>
    <w:rsid w:val="00CC1202"/>
    <w:rsid w:val="00CC4099"/>
    <w:rsid w:val="00CC45C1"/>
    <w:rsid w:val="00CD09E1"/>
    <w:rsid w:val="00CD5078"/>
    <w:rsid w:val="00CD6202"/>
    <w:rsid w:val="00CE2486"/>
    <w:rsid w:val="00CE4913"/>
    <w:rsid w:val="00CE66BD"/>
    <w:rsid w:val="00CF0671"/>
    <w:rsid w:val="00CF44AD"/>
    <w:rsid w:val="00CF4FC0"/>
    <w:rsid w:val="00CF7642"/>
    <w:rsid w:val="00D03909"/>
    <w:rsid w:val="00D1072F"/>
    <w:rsid w:val="00D108A5"/>
    <w:rsid w:val="00D14585"/>
    <w:rsid w:val="00D20EFF"/>
    <w:rsid w:val="00D30F1B"/>
    <w:rsid w:val="00D30FC0"/>
    <w:rsid w:val="00D34F0D"/>
    <w:rsid w:val="00D3516E"/>
    <w:rsid w:val="00D4064C"/>
    <w:rsid w:val="00D47F9F"/>
    <w:rsid w:val="00D53ED8"/>
    <w:rsid w:val="00D56380"/>
    <w:rsid w:val="00D56A47"/>
    <w:rsid w:val="00D64857"/>
    <w:rsid w:val="00D6493A"/>
    <w:rsid w:val="00D64EE2"/>
    <w:rsid w:val="00D67875"/>
    <w:rsid w:val="00D71CBD"/>
    <w:rsid w:val="00D71E86"/>
    <w:rsid w:val="00D731C6"/>
    <w:rsid w:val="00D745C5"/>
    <w:rsid w:val="00D75327"/>
    <w:rsid w:val="00D76473"/>
    <w:rsid w:val="00D80C36"/>
    <w:rsid w:val="00D86779"/>
    <w:rsid w:val="00D86EE1"/>
    <w:rsid w:val="00D9120E"/>
    <w:rsid w:val="00D913B1"/>
    <w:rsid w:val="00D93793"/>
    <w:rsid w:val="00D96126"/>
    <w:rsid w:val="00DB4B1C"/>
    <w:rsid w:val="00DB5085"/>
    <w:rsid w:val="00DB7706"/>
    <w:rsid w:val="00DC1062"/>
    <w:rsid w:val="00DC132C"/>
    <w:rsid w:val="00DC774B"/>
    <w:rsid w:val="00DD43F0"/>
    <w:rsid w:val="00DD44DE"/>
    <w:rsid w:val="00DE09AB"/>
    <w:rsid w:val="00DE4A3F"/>
    <w:rsid w:val="00DE4E53"/>
    <w:rsid w:val="00DE7AE9"/>
    <w:rsid w:val="00DF4367"/>
    <w:rsid w:val="00E0574A"/>
    <w:rsid w:val="00E1243D"/>
    <w:rsid w:val="00E12742"/>
    <w:rsid w:val="00E12E4A"/>
    <w:rsid w:val="00E146D4"/>
    <w:rsid w:val="00E20976"/>
    <w:rsid w:val="00E22079"/>
    <w:rsid w:val="00E22B44"/>
    <w:rsid w:val="00E236D8"/>
    <w:rsid w:val="00E30ACD"/>
    <w:rsid w:val="00E3184B"/>
    <w:rsid w:val="00E32735"/>
    <w:rsid w:val="00E5391D"/>
    <w:rsid w:val="00E544E5"/>
    <w:rsid w:val="00E66E36"/>
    <w:rsid w:val="00E6781E"/>
    <w:rsid w:val="00E702ED"/>
    <w:rsid w:val="00E705CC"/>
    <w:rsid w:val="00E709A4"/>
    <w:rsid w:val="00E73822"/>
    <w:rsid w:val="00E772DB"/>
    <w:rsid w:val="00E86012"/>
    <w:rsid w:val="00E86BAB"/>
    <w:rsid w:val="00E901A1"/>
    <w:rsid w:val="00E94E10"/>
    <w:rsid w:val="00E954BD"/>
    <w:rsid w:val="00E96743"/>
    <w:rsid w:val="00E96A42"/>
    <w:rsid w:val="00EA0A36"/>
    <w:rsid w:val="00EA49C5"/>
    <w:rsid w:val="00EB1C1C"/>
    <w:rsid w:val="00EB5027"/>
    <w:rsid w:val="00EC1836"/>
    <w:rsid w:val="00EC3990"/>
    <w:rsid w:val="00EC484B"/>
    <w:rsid w:val="00ED15FA"/>
    <w:rsid w:val="00ED1E00"/>
    <w:rsid w:val="00EE228F"/>
    <w:rsid w:val="00EE238D"/>
    <w:rsid w:val="00EE6E9A"/>
    <w:rsid w:val="00EF0BF1"/>
    <w:rsid w:val="00EF27DA"/>
    <w:rsid w:val="00EF2AC4"/>
    <w:rsid w:val="00EF397E"/>
    <w:rsid w:val="00F06F68"/>
    <w:rsid w:val="00F1332D"/>
    <w:rsid w:val="00F1534B"/>
    <w:rsid w:val="00F1713B"/>
    <w:rsid w:val="00F212CB"/>
    <w:rsid w:val="00F23C7D"/>
    <w:rsid w:val="00F243DB"/>
    <w:rsid w:val="00F24C2D"/>
    <w:rsid w:val="00F24F1B"/>
    <w:rsid w:val="00F27356"/>
    <w:rsid w:val="00F32A81"/>
    <w:rsid w:val="00F46998"/>
    <w:rsid w:val="00F47100"/>
    <w:rsid w:val="00F5382D"/>
    <w:rsid w:val="00F53D9C"/>
    <w:rsid w:val="00F5462B"/>
    <w:rsid w:val="00F57E8F"/>
    <w:rsid w:val="00F634AD"/>
    <w:rsid w:val="00F63677"/>
    <w:rsid w:val="00F63ABE"/>
    <w:rsid w:val="00F75B81"/>
    <w:rsid w:val="00F804C4"/>
    <w:rsid w:val="00F82F83"/>
    <w:rsid w:val="00F832E5"/>
    <w:rsid w:val="00F90F40"/>
    <w:rsid w:val="00F92B30"/>
    <w:rsid w:val="00F933B9"/>
    <w:rsid w:val="00F94674"/>
    <w:rsid w:val="00F94919"/>
    <w:rsid w:val="00F94A59"/>
    <w:rsid w:val="00FA25B6"/>
    <w:rsid w:val="00FA2FAF"/>
    <w:rsid w:val="00FA5CCF"/>
    <w:rsid w:val="00FA64B1"/>
    <w:rsid w:val="00FA70F3"/>
    <w:rsid w:val="00FA71CD"/>
    <w:rsid w:val="00FB0453"/>
    <w:rsid w:val="00FB0C07"/>
    <w:rsid w:val="00FB298D"/>
    <w:rsid w:val="00FC1439"/>
    <w:rsid w:val="00FC58BE"/>
    <w:rsid w:val="00FC7225"/>
    <w:rsid w:val="00FC724B"/>
    <w:rsid w:val="00FC767C"/>
    <w:rsid w:val="00FC7910"/>
    <w:rsid w:val="00FD0834"/>
    <w:rsid w:val="00FD6EA4"/>
    <w:rsid w:val="00FE13AD"/>
    <w:rsid w:val="00FE348D"/>
    <w:rsid w:val="00FE51C8"/>
    <w:rsid w:val="00FE53B6"/>
    <w:rsid w:val="00FE72A6"/>
    <w:rsid w:val="00FF0ABF"/>
    <w:rsid w:val="00FF0DA7"/>
    <w:rsid w:val="00FF44E0"/>
    <w:rsid w:val="00FF4CB6"/>
    <w:rsid w:val="00FF5834"/>
    <w:rsid w:val="00FF6C72"/>
    <w:rsid w:val="01273F62"/>
    <w:rsid w:val="013A1152"/>
    <w:rsid w:val="013D0C3F"/>
    <w:rsid w:val="014F2075"/>
    <w:rsid w:val="015D4EF0"/>
    <w:rsid w:val="01644164"/>
    <w:rsid w:val="017B1BF9"/>
    <w:rsid w:val="019E30D8"/>
    <w:rsid w:val="01AF690F"/>
    <w:rsid w:val="01B76351"/>
    <w:rsid w:val="01B963E7"/>
    <w:rsid w:val="01BA07A4"/>
    <w:rsid w:val="01CC259C"/>
    <w:rsid w:val="01E93A1B"/>
    <w:rsid w:val="01F14948"/>
    <w:rsid w:val="01F86CD9"/>
    <w:rsid w:val="02020275"/>
    <w:rsid w:val="02083A7E"/>
    <w:rsid w:val="0214602E"/>
    <w:rsid w:val="023477A1"/>
    <w:rsid w:val="0250441F"/>
    <w:rsid w:val="02664218"/>
    <w:rsid w:val="0268290F"/>
    <w:rsid w:val="027A1446"/>
    <w:rsid w:val="02B0310F"/>
    <w:rsid w:val="02B6709D"/>
    <w:rsid w:val="02EA2C27"/>
    <w:rsid w:val="03200295"/>
    <w:rsid w:val="0339692E"/>
    <w:rsid w:val="03486B27"/>
    <w:rsid w:val="034A2F26"/>
    <w:rsid w:val="0371289F"/>
    <w:rsid w:val="03747889"/>
    <w:rsid w:val="03863E70"/>
    <w:rsid w:val="038C592B"/>
    <w:rsid w:val="039813C5"/>
    <w:rsid w:val="03AA2EAF"/>
    <w:rsid w:val="03C33C28"/>
    <w:rsid w:val="040A094E"/>
    <w:rsid w:val="041F1DA8"/>
    <w:rsid w:val="0425755A"/>
    <w:rsid w:val="04271BA6"/>
    <w:rsid w:val="046562D2"/>
    <w:rsid w:val="04685895"/>
    <w:rsid w:val="04856339"/>
    <w:rsid w:val="048C4C77"/>
    <w:rsid w:val="04A9127C"/>
    <w:rsid w:val="04AD0EDF"/>
    <w:rsid w:val="04D024E5"/>
    <w:rsid w:val="04D23811"/>
    <w:rsid w:val="04E35A1E"/>
    <w:rsid w:val="04EA0349"/>
    <w:rsid w:val="04EE6171"/>
    <w:rsid w:val="04FB669E"/>
    <w:rsid w:val="051937ED"/>
    <w:rsid w:val="05545FD4"/>
    <w:rsid w:val="055661F0"/>
    <w:rsid w:val="056F201D"/>
    <w:rsid w:val="05865622"/>
    <w:rsid w:val="059D2CCA"/>
    <w:rsid w:val="05A02586"/>
    <w:rsid w:val="05AB0F0F"/>
    <w:rsid w:val="05B664D4"/>
    <w:rsid w:val="05B747B5"/>
    <w:rsid w:val="05B922DB"/>
    <w:rsid w:val="05C50C80"/>
    <w:rsid w:val="05FF0416"/>
    <w:rsid w:val="060774EA"/>
    <w:rsid w:val="06293905"/>
    <w:rsid w:val="063A2DBE"/>
    <w:rsid w:val="0648028C"/>
    <w:rsid w:val="064B485A"/>
    <w:rsid w:val="067C036C"/>
    <w:rsid w:val="068C65C4"/>
    <w:rsid w:val="069649D2"/>
    <w:rsid w:val="06F1054E"/>
    <w:rsid w:val="07076C01"/>
    <w:rsid w:val="070C28DE"/>
    <w:rsid w:val="070E02C2"/>
    <w:rsid w:val="07145A92"/>
    <w:rsid w:val="071847B7"/>
    <w:rsid w:val="071C12AC"/>
    <w:rsid w:val="07223C39"/>
    <w:rsid w:val="07500A1D"/>
    <w:rsid w:val="075744AA"/>
    <w:rsid w:val="07755854"/>
    <w:rsid w:val="07773529"/>
    <w:rsid w:val="077D3D02"/>
    <w:rsid w:val="07930D85"/>
    <w:rsid w:val="07A934B3"/>
    <w:rsid w:val="07E9307F"/>
    <w:rsid w:val="07EB6287"/>
    <w:rsid w:val="0806421B"/>
    <w:rsid w:val="080F461B"/>
    <w:rsid w:val="08267307"/>
    <w:rsid w:val="08931D52"/>
    <w:rsid w:val="089F3018"/>
    <w:rsid w:val="08B35097"/>
    <w:rsid w:val="08E25FED"/>
    <w:rsid w:val="08EA6E43"/>
    <w:rsid w:val="0906282B"/>
    <w:rsid w:val="09131A8A"/>
    <w:rsid w:val="094445B2"/>
    <w:rsid w:val="096E37C6"/>
    <w:rsid w:val="0980799C"/>
    <w:rsid w:val="09944B8E"/>
    <w:rsid w:val="099F7A3A"/>
    <w:rsid w:val="09B41737"/>
    <w:rsid w:val="09C10372"/>
    <w:rsid w:val="09C556F2"/>
    <w:rsid w:val="09D75243"/>
    <w:rsid w:val="09F14EB4"/>
    <w:rsid w:val="0A346C75"/>
    <w:rsid w:val="0A407642"/>
    <w:rsid w:val="0A641FD4"/>
    <w:rsid w:val="0A670EDD"/>
    <w:rsid w:val="0A6A18DB"/>
    <w:rsid w:val="0A8C7FBE"/>
    <w:rsid w:val="0A975B48"/>
    <w:rsid w:val="0AA17762"/>
    <w:rsid w:val="0ADF073F"/>
    <w:rsid w:val="0AE918B4"/>
    <w:rsid w:val="0AEF3828"/>
    <w:rsid w:val="0B0A3EF2"/>
    <w:rsid w:val="0B0B126D"/>
    <w:rsid w:val="0B0D04B6"/>
    <w:rsid w:val="0B183899"/>
    <w:rsid w:val="0B1E5B60"/>
    <w:rsid w:val="0B3367AA"/>
    <w:rsid w:val="0B386398"/>
    <w:rsid w:val="0B406381"/>
    <w:rsid w:val="0B440899"/>
    <w:rsid w:val="0B594C89"/>
    <w:rsid w:val="0B662F05"/>
    <w:rsid w:val="0B85736A"/>
    <w:rsid w:val="0BB452AA"/>
    <w:rsid w:val="0BBB665B"/>
    <w:rsid w:val="0BF24799"/>
    <w:rsid w:val="0BFB251C"/>
    <w:rsid w:val="0C0C69C4"/>
    <w:rsid w:val="0C112450"/>
    <w:rsid w:val="0C126BE9"/>
    <w:rsid w:val="0C2B0394"/>
    <w:rsid w:val="0C393337"/>
    <w:rsid w:val="0C3E79DE"/>
    <w:rsid w:val="0C424338"/>
    <w:rsid w:val="0C985340"/>
    <w:rsid w:val="0CA75583"/>
    <w:rsid w:val="0CC872A8"/>
    <w:rsid w:val="0CF15467"/>
    <w:rsid w:val="0D1F366D"/>
    <w:rsid w:val="0D24176F"/>
    <w:rsid w:val="0D2C19B1"/>
    <w:rsid w:val="0D3321EA"/>
    <w:rsid w:val="0D3E5245"/>
    <w:rsid w:val="0D4023B4"/>
    <w:rsid w:val="0D6058C3"/>
    <w:rsid w:val="0D6276FC"/>
    <w:rsid w:val="0D913B12"/>
    <w:rsid w:val="0DE325EB"/>
    <w:rsid w:val="0DED5218"/>
    <w:rsid w:val="0DED6FC6"/>
    <w:rsid w:val="0E390F1D"/>
    <w:rsid w:val="0E765017"/>
    <w:rsid w:val="0E8D7387"/>
    <w:rsid w:val="0EC55A81"/>
    <w:rsid w:val="0ED17C14"/>
    <w:rsid w:val="0ED33CAE"/>
    <w:rsid w:val="0EDC4F8B"/>
    <w:rsid w:val="0EE06B2A"/>
    <w:rsid w:val="0EE84BBE"/>
    <w:rsid w:val="0EEA6FC1"/>
    <w:rsid w:val="0F013DD6"/>
    <w:rsid w:val="0F087E2F"/>
    <w:rsid w:val="0F11598C"/>
    <w:rsid w:val="0F4D5C0E"/>
    <w:rsid w:val="0F6A7C1F"/>
    <w:rsid w:val="0F790928"/>
    <w:rsid w:val="0FCE2E27"/>
    <w:rsid w:val="0FE16FFE"/>
    <w:rsid w:val="10120F66"/>
    <w:rsid w:val="101A07D9"/>
    <w:rsid w:val="103435D2"/>
    <w:rsid w:val="10482CBC"/>
    <w:rsid w:val="106519DD"/>
    <w:rsid w:val="106D2640"/>
    <w:rsid w:val="106E640A"/>
    <w:rsid w:val="10CD72BB"/>
    <w:rsid w:val="10EF12A7"/>
    <w:rsid w:val="10FE1BC4"/>
    <w:rsid w:val="11162CD7"/>
    <w:rsid w:val="11292E18"/>
    <w:rsid w:val="112B6BCA"/>
    <w:rsid w:val="1133021C"/>
    <w:rsid w:val="1157206A"/>
    <w:rsid w:val="117C46DA"/>
    <w:rsid w:val="118B5473"/>
    <w:rsid w:val="118D15E1"/>
    <w:rsid w:val="1193257A"/>
    <w:rsid w:val="119D0D03"/>
    <w:rsid w:val="11D51E21"/>
    <w:rsid w:val="11E8638C"/>
    <w:rsid w:val="12117412"/>
    <w:rsid w:val="12197477"/>
    <w:rsid w:val="12791770"/>
    <w:rsid w:val="12843C71"/>
    <w:rsid w:val="128C628C"/>
    <w:rsid w:val="128E3125"/>
    <w:rsid w:val="12C335B9"/>
    <w:rsid w:val="12C33E94"/>
    <w:rsid w:val="12D370EC"/>
    <w:rsid w:val="1301239C"/>
    <w:rsid w:val="131B5CD3"/>
    <w:rsid w:val="136904D3"/>
    <w:rsid w:val="136E03A7"/>
    <w:rsid w:val="13776448"/>
    <w:rsid w:val="137E4DB5"/>
    <w:rsid w:val="13A7230D"/>
    <w:rsid w:val="13B44A8A"/>
    <w:rsid w:val="13BE242A"/>
    <w:rsid w:val="13E05AF2"/>
    <w:rsid w:val="13F0269B"/>
    <w:rsid w:val="141063FB"/>
    <w:rsid w:val="143A63F3"/>
    <w:rsid w:val="144B25DC"/>
    <w:rsid w:val="1450076B"/>
    <w:rsid w:val="145A5A41"/>
    <w:rsid w:val="1466407E"/>
    <w:rsid w:val="14834E28"/>
    <w:rsid w:val="148E7D65"/>
    <w:rsid w:val="14A82170"/>
    <w:rsid w:val="150D619F"/>
    <w:rsid w:val="15145780"/>
    <w:rsid w:val="15231BF9"/>
    <w:rsid w:val="1525551C"/>
    <w:rsid w:val="15282FD9"/>
    <w:rsid w:val="153E1E76"/>
    <w:rsid w:val="155D0ED5"/>
    <w:rsid w:val="15681F85"/>
    <w:rsid w:val="157D1577"/>
    <w:rsid w:val="15C4546D"/>
    <w:rsid w:val="15DF793D"/>
    <w:rsid w:val="15F33DFF"/>
    <w:rsid w:val="15FC3C64"/>
    <w:rsid w:val="16037F77"/>
    <w:rsid w:val="16245C26"/>
    <w:rsid w:val="164E4CC1"/>
    <w:rsid w:val="16946278"/>
    <w:rsid w:val="16DC407B"/>
    <w:rsid w:val="16EF2C7B"/>
    <w:rsid w:val="16EF4DB3"/>
    <w:rsid w:val="17035AAC"/>
    <w:rsid w:val="172B37ED"/>
    <w:rsid w:val="172B60EE"/>
    <w:rsid w:val="173517C6"/>
    <w:rsid w:val="174766EE"/>
    <w:rsid w:val="175D6E22"/>
    <w:rsid w:val="176473C0"/>
    <w:rsid w:val="17966920"/>
    <w:rsid w:val="17AC6144"/>
    <w:rsid w:val="17C678A0"/>
    <w:rsid w:val="17CA2032"/>
    <w:rsid w:val="17D449E1"/>
    <w:rsid w:val="17D50762"/>
    <w:rsid w:val="17E9226E"/>
    <w:rsid w:val="18066069"/>
    <w:rsid w:val="184F3FAD"/>
    <w:rsid w:val="185760AF"/>
    <w:rsid w:val="185E3A03"/>
    <w:rsid w:val="186B1B5B"/>
    <w:rsid w:val="18844597"/>
    <w:rsid w:val="188C264D"/>
    <w:rsid w:val="18AB0FCB"/>
    <w:rsid w:val="18BF3C55"/>
    <w:rsid w:val="18CE20EA"/>
    <w:rsid w:val="18CE5C46"/>
    <w:rsid w:val="18EB4F84"/>
    <w:rsid w:val="18EE203D"/>
    <w:rsid w:val="19223981"/>
    <w:rsid w:val="192A0468"/>
    <w:rsid w:val="192D4D97"/>
    <w:rsid w:val="192F0DDA"/>
    <w:rsid w:val="193C52A5"/>
    <w:rsid w:val="1948516B"/>
    <w:rsid w:val="198F2B40"/>
    <w:rsid w:val="19B1359D"/>
    <w:rsid w:val="19C91016"/>
    <w:rsid w:val="19D90D46"/>
    <w:rsid w:val="19FB0C9D"/>
    <w:rsid w:val="1A064976"/>
    <w:rsid w:val="1A0B165C"/>
    <w:rsid w:val="1A155807"/>
    <w:rsid w:val="1A204AA8"/>
    <w:rsid w:val="1A3B68AA"/>
    <w:rsid w:val="1A3E1C1E"/>
    <w:rsid w:val="1A4518B8"/>
    <w:rsid w:val="1A4639C4"/>
    <w:rsid w:val="1A5C6214"/>
    <w:rsid w:val="1AA20588"/>
    <w:rsid w:val="1AA41354"/>
    <w:rsid w:val="1ABD5A7D"/>
    <w:rsid w:val="1AC46BE6"/>
    <w:rsid w:val="1AC714F1"/>
    <w:rsid w:val="1AF46464"/>
    <w:rsid w:val="1B140288"/>
    <w:rsid w:val="1B1C0613"/>
    <w:rsid w:val="1B65257F"/>
    <w:rsid w:val="1B6F4F40"/>
    <w:rsid w:val="1B75684C"/>
    <w:rsid w:val="1B913A3A"/>
    <w:rsid w:val="1B9E3FF5"/>
    <w:rsid w:val="1BA1070A"/>
    <w:rsid w:val="1BA876E9"/>
    <w:rsid w:val="1BB33B4E"/>
    <w:rsid w:val="1C141836"/>
    <w:rsid w:val="1C313A8B"/>
    <w:rsid w:val="1C5E01AD"/>
    <w:rsid w:val="1C63787A"/>
    <w:rsid w:val="1C6D36D0"/>
    <w:rsid w:val="1C76537D"/>
    <w:rsid w:val="1C844F99"/>
    <w:rsid w:val="1C8D7699"/>
    <w:rsid w:val="1CFA16FF"/>
    <w:rsid w:val="1D1279D6"/>
    <w:rsid w:val="1D277B4F"/>
    <w:rsid w:val="1D594678"/>
    <w:rsid w:val="1D625527"/>
    <w:rsid w:val="1D7F1871"/>
    <w:rsid w:val="1DCC309C"/>
    <w:rsid w:val="1DD7314E"/>
    <w:rsid w:val="1DFD1C32"/>
    <w:rsid w:val="1E374F70"/>
    <w:rsid w:val="1E48649A"/>
    <w:rsid w:val="1E553F4E"/>
    <w:rsid w:val="1E594866"/>
    <w:rsid w:val="1E6B6A14"/>
    <w:rsid w:val="1E803E86"/>
    <w:rsid w:val="1EC65D3D"/>
    <w:rsid w:val="1EEC016F"/>
    <w:rsid w:val="1F191E44"/>
    <w:rsid w:val="1F4E7AE0"/>
    <w:rsid w:val="1F7C0F0E"/>
    <w:rsid w:val="1F833ECF"/>
    <w:rsid w:val="1F8359DC"/>
    <w:rsid w:val="1F8F4478"/>
    <w:rsid w:val="1F9C645A"/>
    <w:rsid w:val="1FDE0EDD"/>
    <w:rsid w:val="1FE2353C"/>
    <w:rsid w:val="1FE44638"/>
    <w:rsid w:val="1FE932A6"/>
    <w:rsid w:val="1FFB3A77"/>
    <w:rsid w:val="20274EB1"/>
    <w:rsid w:val="20550D9A"/>
    <w:rsid w:val="20580C17"/>
    <w:rsid w:val="20586B1E"/>
    <w:rsid w:val="2068516D"/>
    <w:rsid w:val="2079293B"/>
    <w:rsid w:val="207B502F"/>
    <w:rsid w:val="20810D5A"/>
    <w:rsid w:val="209D613F"/>
    <w:rsid w:val="20C81854"/>
    <w:rsid w:val="21083497"/>
    <w:rsid w:val="210F7220"/>
    <w:rsid w:val="212D037F"/>
    <w:rsid w:val="21316F3F"/>
    <w:rsid w:val="21740A58"/>
    <w:rsid w:val="218E2416"/>
    <w:rsid w:val="219610D4"/>
    <w:rsid w:val="21BB5A88"/>
    <w:rsid w:val="21DB0971"/>
    <w:rsid w:val="21DE67C6"/>
    <w:rsid w:val="21E013D1"/>
    <w:rsid w:val="21E97C4B"/>
    <w:rsid w:val="220067DF"/>
    <w:rsid w:val="22212BA3"/>
    <w:rsid w:val="22660B2E"/>
    <w:rsid w:val="226915FE"/>
    <w:rsid w:val="226C0026"/>
    <w:rsid w:val="228D31C1"/>
    <w:rsid w:val="22925F36"/>
    <w:rsid w:val="229273EC"/>
    <w:rsid w:val="22BC4CD1"/>
    <w:rsid w:val="22BE4F7D"/>
    <w:rsid w:val="22C07DB6"/>
    <w:rsid w:val="231177A3"/>
    <w:rsid w:val="233A1CDA"/>
    <w:rsid w:val="23512786"/>
    <w:rsid w:val="235221B8"/>
    <w:rsid w:val="23790749"/>
    <w:rsid w:val="23790843"/>
    <w:rsid w:val="23B343B6"/>
    <w:rsid w:val="23BC656D"/>
    <w:rsid w:val="23DF243B"/>
    <w:rsid w:val="23EB1DFD"/>
    <w:rsid w:val="23F00A42"/>
    <w:rsid w:val="23F073B8"/>
    <w:rsid w:val="241804A5"/>
    <w:rsid w:val="242D5F16"/>
    <w:rsid w:val="24304B23"/>
    <w:rsid w:val="24361C89"/>
    <w:rsid w:val="24390D5F"/>
    <w:rsid w:val="243F627E"/>
    <w:rsid w:val="24621445"/>
    <w:rsid w:val="24B423F8"/>
    <w:rsid w:val="24B62F99"/>
    <w:rsid w:val="24B97929"/>
    <w:rsid w:val="24D632D7"/>
    <w:rsid w:val="24E01F82"/>
    <w:rsid w:val="24E40BA2"/>
    <w:rsid w:val="24FB7DC2"/>
    <w:rsid w:val="251E2F0B"/>
    <w:rsid w:val="25773DF5"/>
    <w:rsid w:val="25A62424"/>
    <w:rsid w:val="25CC710E"/>
    <w:rsid w:val="25D56865"/>
    <w:rsid w:val="25E52D5A"/>
    <w:rsid w:val="25E971BF"/>
    <w:rsid w:val="25ED1E01"/>
    <w:rsid w:val="26335035"/>
    <w:rsid w:val="264F668E"/>
    <w:rsid w:val="265A38C0"/>
    <w:rsid w:val="26707465"/>
    <w:rsid w:val="2692323D"/>
    <w:rsid w:val="269275C5"/>
    <w:rsid w:val="26965073"/>
    <w:rsid w:val="26AC3A6A"/>
    <w:rsid w:val="26B0379B"/>
    <w:rsid w:val="27131C26"/>
    <w:rsid w:val="272A7A0B"/>
    <w:rsid w:val="275E49DE"/>
    <w:rsid w:val="27867BF7"/>
    <w:rsid w:val="27A25F17"/>
    <w:rsid w:val="27B506FD"/>
    <w:rsid w:val="27C470F2"/>
    <w:rsid w:val="27D65DBA"/>
    <w:rsid w:val="28066B5B"/>
    <w:rsid w:val="28192C0E"/>
    <w:rsid w:val="281F026C"/>
    <w:rsid w:val="283C0E1E"/>
    <w:rsid w:val="285F40CA"/>
    <w:rsid w:val="28633EF0"/>
    <w:rsid w:val="28791105"/>
    <w:rsid w:val="289E1AF0"/>
    <w:rsid w:val="28C01ECB"/>
    <w:rsid w:val="28D93D94"/>
    <w:rsid w:val="29027A0B"/>
    <w:rsid w:val="293B10D5"/>
    <w:rsid w:val="29A92CA0"/>
    <w:rsid w:val="29BB0473"/>
    <w:rsid w:val="29BF71E3"/>
    <w:rsid w:val="29D60DFE"/>
    <w:rsid w:val="29D6387F"/>
    <w:rsid w:val="2A110088"/>
    <w:rsid w:val="2A127B63"/>
    <w:rsid w:val="2A451A6C"/>
    <w:rsid w:val="2A685EFA"/>
    <w:rsid w:val="2A6A363D"/>
    <w:rsid w:val="2A723F79"/>
    <w:rsid w:val="2A8B3093"/>
    <w:rsid w:val="2A9F03A0"/>
    <w:rsid w:val="2AA02A75"/>
    <w:rsid w:val="2AAA4765"/>
    <w:rsid w:val="2AAB3A4D"/>
    <w:rsid w:val="2AAF1DE2"/>
    <w:rsid w:val="2AAF4432"/>
    <w:rsid w:val="2AB443AA"/>
    <w:rsid w:val="2AC21606"/>
    <w:rsid w:val="2AC375D4"/>
    <w:rsid w:val="2AD63D42"/>
    <w:rsid w:val="2AEA4B61"/>
    <w:rsid w:val="2AEC6B2B"/>
    <w:rsid w:val="2B0202D3"/>
    <w:rsid w:val="2B0674C1"/>
    <w:rsid w:val="2B33475A"/>
    <w:rsid w:val="2B7E7608"/>
    <w:rsid w:val="2B7F04E9"/>
    <w:rsid w:val="2B806ACB"/>
    <w:rsid w:val="2B8903BA"/>
    <w:rsid w:val="2B8B554A"/>
    <w:rsid w:val="2BAF21A8"/>
    <w:rsid w:val="2BC700DC"/>
    <w:rsid w:val="2BC9457C"/>
    <w:rsid w:val="2BCE5FBE"/>
    <w:rsid w:val="2BDF5E6E"/>
    <w:rsid w:val="2BE806A1"/>
    <w:rsid w:val="2BF45F76"/>
    <w:rsid w:val="2BF81393"/>
    <w:rsid w:val="2C0F23A5"/>
    <w:rsid w:val="2C6D5C96"/>
    <w:rsid w:val="2C73502A"/>
    <w:rsid w:val="2C7566AC"/>
    <w:rsid w:val="2CE352EB"/>
    <w:rsid w:val="2CFE7F91"/>
    <w:rsid w:val="2D01261F"/>
    <w:rsid w:val="2D1A7DA7"/>
    <w:rsid w:val="2D293045"/>
    <w:rsid w:val="2D4652DE"/>
    <w:rsid w:val="2D496D68"/>
    <w:rsid w:val="2D5704A8"/>
    <w:rsid w:val="2D57091A"/>
    <w:rsid w:val="2D5E35E4"/>
    <w:rsid w:val="2D882A59"/>
    <w:rsid w:val="2D8B3E4A"/>
    <w:rsid w:val="2DB01552"/>
    <w:rsid w:val="2DB355AA"/>
    <w:rsid w:val="2DD438A6"/>
    <w:rsid w:val="2DD82633"/>
    <w:rsid w:val="2E04154E"/>
    <w:rsid w:val="2E334496"/>
    <w:rsid w:val="2E353A0B"/>
    <w:rsid w:val="2E76351E"/>
    <w:rsid w:val="2E7A48DE"/>
    <w:rsid w:val="2E874C60"/>
    <w:rsid w:val="2EB14F02"/>
    <w:rsid w:val="2EBA5177"/>
    <w:rsid w:val="2ED40002"/>
    <w:rsid w:val="2EDC3ED8"/>
    <w:rsid w:val="2EEC0A59"/>
    <w:rsid w:val="2F0401BB"/>
    <w:rsid w:val="2F104B00"/>
    <w:rsid w:val="2F154B48"/>
    <w:rsid w:val="2F1C495A"/>
    <w:rsid w:val="2F6351B4"/>
    <w:rsid w:val="2F642A08"/>
    <w:rsid w:val="2F680306"/>
    <w:rsid w:val="2FAC7446"/>
    <w:rsid w:val="2FAD43AF"/>
    <w:rsid w:val="2FB1138A"/>
    <w:rsid w:val="2FB361F0"/>
    <w:rsid w:val="2FB61126"/>
    <w:rsid w:val="2FBC1FDE"/>
    <w:rsid w:val="2FC86126"/>
    <w:rsid w:val="2FCF199E"/>
    <w:rsid w:val="2FDD2EE6"/>
    <w:rsid w:val="2FEC137B"/>
    <w:rsid w:val="30182170"/>
    <w:rsid w:val="3018754B"/>
    <w:rsid w:val="302E2703"/>
    <w:rsid w:val="30483E83"/>
    <w:rsid w:val="30864273"/>
    <w:rsid w:val="308F570C"/>
    <w:rsid w:val="309036F3"/>
    <w:rsid w:val="30BF3991"/>
    <w:rsid w:val="30C145B6"/>
    <w:rsid w:val="30FE0D86"/>
    <w:rsid w:val="3111619A"/>
    <w:rsid w:val="311C17EC"/>
    <w:rsid w:val="3150593A"/>
    <w:rsid w:val="315A68A9"/>
    <w:rsid w:val="3163566D"/>
    <w:rsid w:val="31816B29"/>
    <w:rsid w:val="319775DB"/>
    <w:rsid w:val="31A4318C"/>
    <w:rsid w:val="31A970F2"/>
    <w:rsid w:val="31B139DC"/>
    <w:rsid w:val="31E559B4"/>
    <w:rsid w:val="31EC0CBC"/>
    <w:rsid w:val="31EC5F04"/>
    <w:rsid w:val="31F13C27"/>
    <w:rsid w:val="32311463"/>
    <w:rsid w:val="32447F2D"/>
    <w:rsid w:val="32497AF3"/>
    <w:rsid w:val="32657972"/>
    <w:rsid w:val="32987598"/>
    <w:rsid w:val="32BA2D7D"/>
    <w:rsid w:val="32BF68D3"/>
    <w:rsid w:val="32C428D3"/>
    <w:rsid w:val="32EB1476"/>
    <w:rsid w:val="32F85954"/>
    <w:rsid w:val="33136C1F"/>
    <w:rsid w:val="333228AF"/>
    <w:rsid w:val="333E62DD"/>
    <w:rsid w:val="33426172"/>
    <w:rsid w:val="335039CF"/>
    <w:rsid w:val="335D0B51"/>
    <w:rsid w:val="33896CEC"/>
    <w:rsid w:val="339075C4"/>
    <w:rsid w:val="33DA2380"/>
    <w:rsid w:val="33E365F1"/>
    <w:rsid w:val="33F15A1B"/>
    <w:rsid w:val="33F24D22"/>
    <w:rsid w:val="33FA157A"/>
    <w:rsid w:val="3401625C"/>
    <w:rsid w:val="3410040A"/>
    <w:rsid w:val="34114A64"/>
    <w:rsid w:val="341B451C"/>
    <w:rsid w:val="343C0775"/>
    <w:rsid w:val="344134FC"/>
    <w:rsid w:val="349A6B75"/>
    <w:rsid w:val="34C14AD5"/>
    <w:rsid w:val="34D4418C"/>
    <w:rsid w:val="34EF6B84"/>
    <w:rsid w:val="34F36E84"/>
    <w:rsid w:val="350031D3"/>
    <w:rsid w:val="353F2A00"/>
    <w:rsid w:val="3551328B"/>
    <w:rsid w:val="356C50EC"/>
    <w:rsid w:val="356D72B5"/>
    <w:rsid w:val="358A3ABB"/>
    <w:rsid w:val="35D82A9E"/>
    <w:rsid w:val="35D83DA9"/>
    <w:rsid w:val="35EB51D2"/>
    <w:rsid w:val="35EC6482"/>
    <w:rsid w:val="35FF1A50"/>
    <w:rsid w:val="360D2916"/>
    <w:rsid w:val="36137E45"/>
    <w:rsid w:val="36152D3C"/>
    <w:rsid w:val="36376E0A"/>
    <w:rsid w:val="363C648D"/>
    <w:rsid w:val="366000CF"/>
    <w:rsid w:val="36681030"/>
    <w:rsid w:val="367F2A2F"/>
    <w:rsid w:val="368A503C"/>
    <w:rsid w:val="36985DB9"/>
    <w:rsid w:val="36A04C6E"/>
    <w:rsid w:val="36A7090F"/>
    <w:rsid w:val="36AF3103"/>
    <w:rsid w:val="36B16968"/>
    <w:rsid w:val="36BC4B9D"/>
    <w:rsid w:val="36C85A67"/>
    <w:rsid w:val="36F27ADE"/>
    <w:rsid w:val="3700166C"/>
    <w:rsid w:val="37104EE9"/>
    <w:rsid w:val="37182A00"/>
    <w:rsid w:val="37296A11"/>
    <w:rsid w:val="3754438C"/>
    <w:rsid w:val="37681499"/>
    <w:rsid w:val="377E4FAF"/>
    <w:rsid w:val="37891594"/>
    <w:rsid w:val="378A3699"/>
    <w:rsid w:val="379A1012"/>
    <w:rsid w:val="37A834C7"/>
    <w:rsid w:val="37BD2B7D"/>
    <w:rsid w:val="37CD3840"/>
    <w:rsid w:val="37DE0925"/>
    <w:rsid w:val="37FF7772"/>
    <w:rsid w:val="3810237A"/>
    <w:rsid w:val="381551E7"/>
    <w:rsid w:val="381B1DFE"/>
    <w:rsid w:val="38325D99"/>
    <w:rsid w:val="38387062"/>
    <w:rsid w:val="385454A6"/>
    <w:rsid w:val="38683569"/>
    <w:rsid w:val="38694EE9"/>
    <w:rsid w:val="386E0925"/>
    <w:rsid w:val="38CC1D4A"/>
    <w:rsid w:val="38D02EDF"/>
    <w:rsid w:val="38DF7CCF"/>
    <w:rsid w:val="38EB73F3"/>
    <w:rsid w:val="38F77302"/>
    <w:rsid w:val="394F67AC"/>
    <w:rsid w:val="39826510"/>
    <w:rsid w:val="398D772B"/>
    <w:rsid w:val="39A40322"/>
    <w:rsid w:val="39B90520"/>
    <w:rsid w:val="3A1D449C"/>
    <w:rsid w:val="3A2321ED"/>
    <w:rsid w:val="3A312177"/>
    <w:rsid w:val="3A397BBD"/>
    <w:rsid w:val="3A6818FA"/>
    <w:rsid w:val="3A867C87"/>
    <w:rsid w:val="3ABA760B"/>
    <w:rsid w:val="3ABC4EF0"/>
    <w:rsid w:val="3AC2225A"/>
    <w:rsid w:val="3ADF19C0"/>
    <w:rsid w:val="3AF14979"/>
    <w:rsid w:val="3B082B96"/>
    <w:rsid w:val="3B15292D"/>
    <w:rsid w:val="3B2A0CE7"/>
    <w:rsid w:val="3B365CC9"/>
    <w:rsid w:val="3B4846C5"/>
    <w:rsid w:val="3B596DC8"/>
    <w:rsid w:val="3B6266BD"/>
    <w:rsid w:val="3B727B78"/>
    <w:rsid w:val="3B9A7B88"/>
    <w:rsid w:val="3BB27F15"/>
    <w:rsid w:val="3BBA28F3"/>
    <w:rsid w:val="3BC211E2"/>
    <w:rsid w:val="3BD25848"/>
    <w:rsid w:val="3BE17973"/>
    <w:rsid w:val="3BE82581"/>
    <w:rsid w:val="3BF43750"/>
    <w:rsid w:val="3C132076"/>
    <w:rsid w:val="3C1A644D"/>
    <w:rsid w:val="3C236125"/>
    <w:rsid w:val="3C2C1F3F"/>
    <w:rsid w:val="3C447E49"/>
    <w:rsid w:val="3C4B567C"/>
    <w:rsid w:val="3C9014A1"/>
    <w:rsid w:val="3CA132FF"/>
    <w:rsid w:val="3CB11983"/>
    <w:rsid w:val="3CBF25B4"/>
    <w:rsid w:val="3CCA04EC"/>
    <w:rsid w:val="3CD63CA7"/>
    <w:rsid w:val="3CDF53B5"/>
    <w:rsid w:val="3CF4186F"/>
    <w:rsid w:val="3D2C7AC8"/>
    <w:rsid w:val="3D3D4FC4"/>
    <w:rsid w:val="3D436353"/>
    <w:rsid w:val="3D527F2D"/>
    <w:rsid w:val="3D5A43EA"/>
    <w:rsid w:val="3D5C4C52"/>
    <w:rsid w:val="3D6C52A6"/>
    <w:rsid w:val="3D852FC6"/>
    <w:rsid w:val="3D855D12"/>
    <w:rsid w:val="3D876E0F"/>
    <w:rsid w:val="3D8B42FF"/>
    <w:rsid w:val="3DA04E72"/>
    <w:rsid w:val="3DA36A11"/>
    <w:rsid w:val="3DE86C4C"/>
    <w:rsid w:val="3DF36A6E"/>
    <w:rsid w:val="3DFD29A6"/>
    <w:rsid w:val="3E2B12C1"/>
    <w:rsid w:val="3E3D3C92"/>
    <w:rsid w:val="3E6C1E03"/>
    <w:rsid w:val="3EBA1EE9"/>
    <w:rsid w:val="3EC27D02"/>
    <w:rsid w:val="3ED2798E"/>
    <w:rsid w:val="3EEF22EE"/>
    <w:rsid w:val="3F1104B7"/>
    <w:rsid w:val="3F1D76FC"/>
    <w:rsid w:val="3F225417"/>
    <w:rsid w:val="3F5C37E1"/>
    <w:rsid w:val="3F664221"/>
    <w:rsid w:val="3F756E40"/>
    <w:rsid w:val="3F792F1E"/>
    <w:rsid w:val="3FA36318"/>
    <w:rsid w:val="3FA82321"/>
    <w:rsid w:val="3FCE2231"/>
    <w:rsid w:val="3FCF2A56"/>
    <w:rsid w:val="3FD31C10"/>
    <w:rsid w:val="3FF34060"/>
    <w:rsid w:val="3FFB3DE1"/>
    <w:rsid w:val="40307062"/>
    <w:rsid w:val="406D4B77"/>
    <w:rsid w:val="40783831"/>
    <w:rsid w:val="407B0C6A"/>
    <w:rsid w:val="40824826"/>
    <w:rsid w:val="408E49B7"/>
    <w:rsid w:val="40917513"/>
    <w:rsid w:val="40960A5A"/>
    <w:rsid w:val="409A66D3"/>
    <w:rsid w:val="409C6610"/>
    <w:rsid w:val="40A86BF9"/>
    <w:rsid w:val="40DD5B4F"/>
    <w:rsid w:val="40E63923"/>
    <w:rsid w:val="41014F1A"/>
    <w:rsid w:val="41075C99"/>
    <w:rsid w:val="410F6C78"/>
    <w:rsid w:val="41120516"/>
    <w:rsid w:val="41652D3C"/>
    <w:rsid w:val="41AA3C4B"/>
    <w:rsid w:val="41AF73DA"/>
    <w:rsid w:val="41B15F81"/>
    <w:rsid w:val="41B873F1"/>
    <w:rsid w:val="41BA60DA"/>
    <w:rsid w:val="41C62AF0"/>
    <w:rsid w:val="41CB6E33"/>
    <w:rsid w:val="41D42D4C"/>
    <w:rsid w:val="41DB4DAC"/>
    <w:rsid w:val="42395C4B"/>
    <w:rsid w:val="427C006E"/>
    <w:rsid w:val="4295472C"/>
    <w:rsid w:val="4299065E"/>
    <w:rsid w:val="43055C4F"/>
    <w:rsid w:val="430D4F10"/>
    <w:rsid w:val="43194492"/>
    <w:rsid w:val="433559F8"/>
    <w:rsid w:val="434E2993"/>
    <w:rsid w:val="434F69ED"/>
    <w:rsid w:val="437C611B"/>
    <w:rsid w:val="43A91E5B"/>
    <w:rsid w:val="43E12634"/>
    <w:rsid w:val="4401706B"/>
    <w:rsid w:val="44112D07"/>
    <w:rsid w:val="446F1DD1"/>
    <w:rsid w:val="44703ED1"/>
    <w:rsid w:val="447A12D4"/>
    <w:rsid w:val="449E0D39"/>
    <w:rsid w:val="44A21BB1"/>
    <w:rsid w:val="44B71B00"/>
    <w:rsid w:val="44C064D0"/>
    <w:rsid w:val="44F75A79"/>
    <w:rsid w:val="45060392"/>
    <w:rsid w:val="45176DA9"/>
    <w:rsid w:val="451A208F"/>
    <w:rsid w:val="45444E9C"/>
    <w:rsid w:val="45574D45"/>
    <w:rsid w:val="456866EC"/>
    <w:rsid w:val="45925EEB"/>
    <w:rsid w:val="45AA02A5"/>
    <w:rsid w:val="45B95404"/>
    <w:rsid w:val="45E104B7"/>
    <w:rsid w:val="45E32B26"/>
    <w:rsid w:val="4614041A"/>
    <w:rsid w:val="463A3650"/>
    <w:rsid w:val="46424A98"/>
    <w:rsid w:val="46461627"/>
    <w:rsid w:val="466F2D80"/>
    <w:rsid w:val="46771386"/>
    <w:rsid w:val="467910C5"/>
    <w:rsid w:val="468123C6"/>
    <w:rsid w:val="468A3FB7"/>
    <w:rsid w:val="46973756"/>
    <w:rsid w:val="469F0116"/>
    <w:rsid w:val="46AC524D"/>
    <w:rsid w:val="46C6427C"/>
    <w:rsid w:val="46CF30BA"/>
    <w:rsid w:val="46DF35D6"/>
    <w:rsid w:val="46FE182D"/>
    <w:rsid w:val="470E5BE0"/>
    <w:rsid w:val="475259B7"/>
    <w:rsid w:val="47685334"/>
    <w:rsid w:val="476A10AC"/>
    <w:rsid w:val="477737C9"/>
    <w:rsid w:val="4784383C"/>
    <w:rsid w:val="478A1542"/>
    <w:rsid w:val="47A62604"/>
    <w:rsid w:val="47B2035D"/>
    <w:rsid w:val="47B71E17"/>
    <w:rsid w:val="47D82DE8"/>
    <w:rsid w:val="47E12479"/>
    <w:rsid w:val="47EF2DCF"/>
    <w:rsid w:val="48017ED4"/>
    <w:rsid w:val="483128C8"/>
    <w:rsid w:val="488302AE"/>
    <w:rsid w:val="48831CF9"/>
    <w:rsid w:val="48887DFD"/>
    <w:rsid w:val="4892318A"/>
    <w:rsid w:val="48A334E8"/>
    <w:rsid w:val="48A91760"/>
    <w:rsid w:val="48D32ABC"/>
    <w:rsid w:val="48DB52CE"/>
    <w:rsid w:val="48E2290D"/>
    <w:rsid w:val="48F155BB"/>
    <w:rsid w:val="48FD41F6"/>
    <w:rsid w:val="49024C9C"/>
    <w:rsid w:val="49034FAE"/>
    <w:rsid w:val="49234B95"/>
    <w:rsid w:val="49344DB5"/>
    <w:rsid w:val="494E3A04"/>
    <w:rsid w:val="49740753"/>
    <w:rsid w:val="497C50C6"/>
    <w:rsid w:val="49A37B0F"/>
    <w:rsid w:val="49B1408D"/>
    <w:rsid w:val="49C01457"/>
    <w:rsid w:val="49F16928"/>
    <w:rsid w:val="4A0B0BBB"/>
    <w:rsid w:val="4A1536F1"/>
    <w:rsid w:val="4A4A6F73"/>
    <w:rsid w:val="4A7D4FD2"/>
    <w:rsid w:val="4A8A736F"/>
    <w:rsid w:val="4A913C9A"/>
    <w:rsid w:val="4AA87A91"/>
    <w:rsid w:val="4AC80BA8"/>
    <w:rsid w:val="4AE867BF"/>
    <w:rsid w:val="4B1F70AC"/>
    <w:rsid w:val="4B240F94"/>
    <w:rsid w:val="4B306168"/>
    <w:rsid w:val="4B851C1A"/>
    <w:rsid w:val="4B941340"/>
    <w:rsid w:val="4BE960C0"/>
    <w:rsid w:val="4BFF416F"/>
    <w:rsid w:val="4C0832E5"/>
    <w:rsid w:val="4C104EC8"/>
    <w:rsid w:val="4C1A2668"/>
    <w:rsid w:val="4C1E23FB"/>
    <w:rsid w:val="4C2C287D"/>
    <w:rsid w:val="4C3C565C"/>
    <w:rsid w:val="4C6354ED"/>
    <w:rsid w:val="4C680A56"/>
    <w:rsid w:val="4C77474A"/>
    <w:rsid w:val="4CCC79C7"/>
    <w:rsid w:val="4CCD16FF"/>
    <w:rsid w:val="4D157F29"/>
    <w:rsid w:val="4D387556"/>
    <w:rsid w:val="4D5229CA"/>
    <w:rsid w:val="4D7555C7"/>
    <w:rsid w:val="4D832BEF"/>
    <w:rsid w:val="4DB87D67"/>
    <w:rsid w:val="4DC14ADD"/>
    <w:rsid w:val="4DD775C9"/>
    <w:rsid w:val="4DDF413B"/>
    <w:rsid w:val="4DF73D18"/>
    <w:rsid w:val="4DFD4DCC"/>
    <w:rsid w:val="4E0E3D68"/>
    <w:rsid w:val="4E2A57BE"/>
    <w:rsid w:val="4E3917D8"/>
    <w:rsid w:val="4E4E76EA"/>
    <w:rsid w:val="4E7446E8"/>
    <w:rsid w:val="4E9E788D"/>
    <w:rsid w:val="4EA61166"/>
    <w:rsid w:val="4EA96688"/>
    <w:rsid w:val="4EAA6232"/>
    <w:rsid w:val="4EAE6DA0"/>
    <w:rsid w:val="4EB51F2C"/>
    <w:rsid w:val="4EE25CF3"/>
    <w:rsid w:val="4EEB0082"/>
    <w:rsid w:val="4EF474AD"/>
    <w:rsid w:val="4F013FFC"/>
    <w:rsid w:val="4F10078B"/>
    <w:rsid w:val="4F2C2430"/>
    <w:rsid w:val="4F3E4570"/>
    <w:rsid w:val="4F471CD3"/>
    <w:rsid w:val="4F5379AB"/>
    <w:rsid w:val="4F9A1281"/>
    <w:rsid w:val="4FAA3762"/>
    <w:rsid w:val="4FC276A8"/>
    <w:rsid w:val="4FE319FB"/>
    <w:rsid w:val="4FE617D9"/>
    <w:rsid w:val="500F7720"/>
    <w:rsid w:val="5016514B"/>
    <w:rsid w:val="50421A2A"/>
    <w:rsid w:val="508E35D5"/>
    <w:rsid w:val="50901457"/>
    <w:rsid w:val="509251CF"/>
    <w:rsid w:val="50991866"/>
    <w:rsid w:val="50BD4DF3"/>
    <w:rsid w:val="50E377D9"/>
    <w:rsid w:val="50F9524E"/>
    <w:rsid w:val="50FC1A26"/>
    <w:rsid w:val="5101721E"/>
    <w:rsid w:val="511E3467"/>
    <w:rsid w:val="511E3CF3"/>
    <w:rsid w:val="513A37B5"/>
    <w:rsid w:val="5153670D"/>
    <w:rsid w:val="51723664"/>
    <w:rsid w:val="51B90AF7"/>
    <w:rsid w:val="51C06ED5"/>
    <w:rsid w:val="51C25640"/>
    <w:rsid w:val="51CB1C78"/>
    <w:rsid w:val="51DC746E"/>
    <w:rsid w:val="51E23F34"/>
    <w:rsid w:val="51FA2A75"/>
    <w:rsid w:val="51FD6A51"/>
    <w:rsid w:val="521C597D"/>
    <w:rsid w:val="526B680A"/>
    <w:rsid w:val="52786B62"/>
    <w:rsid w:val="52836F71"/>
    <w:rsid w:val="52865843"/>
    <w:rsid w:val="52D26B02"/>
    <w:rsid w:val="52D43851"/>
    <w:rsid w:val="52EA7DB5"/>
    <w:rsid w:val="53050F3C"/>
    <w:rsid w:val="5306697D"/>
    <w:rsid w:val="532D3CF0"/>
    <w:rsid w:val="532E5683"/>
    <w:rsid w:val="53696B23"/>
    <w:rsid w:val="538C5F06"/>
    <w:rsid w:val="53924908"/>
    <w:rsid w:val="53A910B3"/>
    <w:rsid w:val="53B25926"/>
    <w:rsid w:val="541A52F7"/>
    <w:rsid w:val="541A5D30"/>
    <w:rsid w:val="5428129F"/>
    <w:rsid w:val="542E1A8F"/>
    <w:rsid w:val="54375959"/>
    <w:rsid w:val="544D73A4"/>
    <w:rsid w:val="54512C1D"/>
    <w:rsid w:val="5463310B"/>
    <w:rsid w:val="547E0A4C"/>
    <w:rsid w:val="54BA5E25"/>
    <w:rsid w:val="55143636"/>
    <w:rsid w:val="55683F0E"/>
    <w:rsid w:val="55794E35"/>
    <w:rsid w:val="55C1559C"/>
    <w:rsid w:val="55C85B21"/>
    <w:rsid w:val="55DC5768"/>
    <w:rsid w:val="55F068CD"/>
    <w:rsid w:val="55F64538"/>
    <w:rsid w:val="5603650F"/>
    <w:rsid w:val="563E247E"/>
    <w:rsid w:val="56524A44"/>
    <w:rsid w:val="566C3136"/>
    <w:rsid w:val="5679373A"/>
    <w:rsid w:val="568D04F2"/>
    <w:rsid w:val="569021B1"/>
    <w:rsid w:val="56A143BE"/>
    <w:rsid w:val="56D82A00"/>
    <w:rsid w:val="56E115BC"/>
    <w:rsid w:val="56EE2D9C"/>
    <w:rsid w:val="57435475"/>
    <w:rsid w:val="57643484"/>
    <w:rsid w:val="57687986"/>
    <w:rsid w:val="577E3A1C"/>
    <w:rsid w:val="578A2944"/>
    <w:rsid w:val="57AE0B41"/>
    <w:rsid w:val="57B91F2F"/>
    <w:rsid w:val="57CF3875"/>
    <w:rsid w:val="58135684"/>
    <w:rsid w:val="581F16FE"/>
    <w:rsid w:val="582C7CB7"/>
    <w:rsid w:val="582E7EB2"/>
    <w:rsid w:val="58403763"/>
    <w:rsid w:val="58782EFD"/>
    <w:rsid w:val="588607B7"/>
    <w:rsid w:val="58DA44FC"/>
    <w:rsid w:val="58DF4D2A"/>
    <w:rsid w:val="58F4245C"/>
    <w:rsid w:val="58F83E47"/>
    <w:rsid w:val="591753B6"/>
    <w:rsid w:val="59426081"/>
    <w:rsid w:val="594F1B9F"/>
    <w:rsid w:val="596077B9"/>
    <w:rsid w:val="598E7FC9"/>
    <w:rsid w:val="599109BB"/>
    <w:rsid w:val="599C756E"/>
    <w:rsid w:val="59A40BE9"/>
    <w:rsid w:val="59CF4D9E"/>
    <w:rsid w:val="59D10FBB"/>
    <w:rsid w:val="59E940B2"/>
    <w:rsid w:val="59F474B0"/>
    <w:rsid w:val="5A1D7650"/>
    <w:rsid w:val="5A3406BD"/>
    <w:rsid w:val="5A4F7B44"/>
    <w:rsid w:val="5A526582"/>
    <w:rsid w:val="5A5F5C77"/>
    <w:rsid w:val="5A711A0D"/>
    <w:rsid w:val="5A7A044B"/>
    <w:rsid w:val="5A8019D7"/>
    <w:rsid w:val="5A856287"/>
    <w:rsid w:val="5AA1673B"/>
    <w:rsid w:val="5AD165B1"/>
    <w:rsid w:val="5AF45B3D"/>
    <w:rsid w:val="5B1613E4"/>
    <w:rsid w:val="5B1B7851"/>
    <w:rsid w:val="5B5E20FB"/>
    <w:rsid w:val="5B751B2A"/>
    <w:rsid w:val="5B78003B"/>
    <w:rsid w:val="5B785842"/>
    <w:rsid w:val="5B8D7E69"/>
    <w:rsid w:val="5BA237FB"/>
    <w:rsid w:val="5BB36E62"/>
    <w:rsid w:val="5BC11A60"/>
    <w:rsid w:val="5BCD3FA0"/>
    <w:rsid w:val="5BDA3AC8"/>
    <w:rsid w:val="5BE175ED"/>
    <w:rsid w:val="5C060FD9"/>
    <w:rsid w:val="5C166DF0"/>
    <w:rsid w:val="5C2C5832"/>
    <w:rsid w:val="5C471564"/>
    <w:rsid w:val="5C6B495B"/>
    <w:rsid w:val="5C7A36E7"/>
    <w:rsid w:val="5C7A4D54"/>
    <w:rsid w:val="5C906302"/>
    <w:rsid w:val="5C9E0B56"/>
    <w:rsid w:val="5CAB2065"/>
    <w:rsid w:val="5CD23B73"/>
    <w:rsid w:val="5CDF7935"/>
    <w:rsid w:val="5D086F20"/>
    <w:rsid w:val="5D235B2D"/>
    <w:rsid w:val="5D285758"/>
    <w:rsid w:val="5D465907"/>
    <w:rsid w:val="5D50269A"/>
    <w:rsid w:val="5D663C6C"/>
    <w:rsid w:val="5D6879E4"/>
    <w:rsid w:val="5D6F0987"/>
    <w:rsid w:val="5DA01F4F"/>
    <w:rsid w:val="5DAF4B46"/>
    <w:rsid w:val="5DB75D2D"/>
    <w:rsid w:val="5E070FAB"/>
    <w:rsid w:val="5E29059B"/>
    <w:rsid w:val="5E355B65"/>
    <w:rsid w:val="5E685060"/>
    <w:rsid w:val="5EA37AEC"/>
    <w:rsid w:val="5ED32BE2"/>
    <w:rsid w:val="5F0D0D0E"/>
    <w:rsid w:val="5F127819"/>
    <w:rsid w:val="5F230066"/>
    <w:rsid w:val="5F430503"/>
    <w:rsid w:val="5F48265F"/>
    <w:rsid w:val="5F482680"/>
    <w:rsid w:val="5F795ED8"/>
    <w:rsid w:val="5F8466DC"/>
    <w:rsid w:val="5F93003C"/>
    <w:rsid w:val="5F93686E"/>
    <w:rsid w:val="5F9C37B0"/>
    <w:rsid w:val="5FAF4DD6"/>
    <w:rsid w:val="5FE64998"/>
    <w:rsid w:val="60000F9C"/>
    <w:rsid w:val="60034428"/>
    <w:rsid w:val="600B265B"/>
    <w:rsid w:val="60193217"/>
    <w:rsid w:val="602E0C4F"/>
    <w:rsid w:val="60350ED3"/>
    <w:rsid w:val="60403A66"/>
    <w:rsid w:val="60445C5A"/>
    <w:rsid w:val="605702D9"/>
    <w:rsid w:val="6077540C"/>
    <w:rsid w:val="607F3EC4"/>
    <w:rsid w:val="60910E39"/>
    <w:rsid w:val="60B72AEE"/>
    <w:rsid w:val="60BF5B6D"/>
    <w:rsid w:val="61025188"/>
    <w:rsid w:val="61057D5F"/>
    <w:rsid w:val="6126068F"/>
    <w:rsid w:val="614D4977"/>
    <w:rsid w:val="61750921"/>
    <w:rsid w:val="618D5C6B"/>
    <w:rsid w:val="61AE5BE1"/>
    <w:rsid w:val="61BD0675"/>
    <w:rsid w:val="61F17083"/>
    <w:rsid w:val="621E4B15"/>
    <w:rsid w:val="622351C7"/>
    <w:rsid w:val="624C4B4A"/>
    <w:rsid w:val="62AF2797"/>
    <w:rsid w:val="62B62F9F"/>
    <w:rsid w:val="62CB5BCE"/>
    <w:rsid w:val="62CE653B"/>
    <w:rsid w:val="62FD1A73"/>
    <w:rsid w:val="633873AA"/>
    <w:rsid w:val="63487042"/>
    <w:rsid w:val="63597D91"/>
    <w:rsid w:val="63881125"/>
    <w:rsid w:val="639C2195"/>
    <w:rsid w:val="63AA4E4D"/>
    <w:rsid w:val="63BF3D0A"/>
    <w:rsid w:val="63C60FC0"/>
    <w:rsid w:val="63D25BB7"/>
    <w:rsid w:val="63F55D49"/>
    <w:rsid w:val="64053C22"/>
    <w:rsid w:val="64056604"/>
    <w:rsid w:val="641E290A"/>
    <w:rsid w:val="646B6EF8"/>
    <w:rsid w:val="64746C6E"/>
    <w:rsid w:val="64892617"/>
    <w:rsid w:val="64935DDA"/>
    <w:rsid w:val="64962E9C"/>
    <w:rsid w:val="64AC1FBB"/>
    <w:rsid w:val="64BA3D7A"/>
    <w:rsid w:val="64BB2AEF"/>
    <w:rsid w:val="64DC68D4"/>
    <w:rsid w:val="64F1685A"/>
    <w:rsid w:val="64F179BC"/>
    <w:rsid w:val="65041DA0"/>
    <w:rsid w:val="65046E33"/>
    <w:rsid w:val="657467A8"/>
    <w:rsid w:val="65CD1D0F"/>
    <w:rsid w:val="65F119BA"/>
    <w:rsid w:val="665704D3"/>
    <w:rsid w:val="66B617C0"/>
    <w:rsid w:val="66EC33D6"/>
    <w:rsid w:val="66F10EF8"/>
    <w:rsid w:val="67154218"/>
    <w:rsid w:val="6759039D"/>
    <w:rsid w:val="677668F5"/>
    <w:rsid w:val="67A36FC6"/>
    <w:rsid w:val="67AF7FBD"/>
    <w:rsid w:val="67BC1D30"/>
    <w:rsid w:val="67C065A4"/>
    <w:rsid w:val="67C101A0"/>
    <w:rsid w:val="67CD63BE"/>
    <w:rsid w:val="67D359C9"/>
    <w:rsid w:val="67FD07D4"/>
    <w:rsid w:val="68042537"/>
    <w:rsid w:val="681849AE"/>
    <w:rsid w:val="68377FB7"/>
    <w:rsid w:val="68833A94"/>
    <w:rsid w:val="689B3241"/>
    <w:rsid w:val="68A815DC"/>
    <w:rsid w:val="68D73C6F"/>
    <w:rsid w:val="68E9386C"/>
    <w:rsid w:val="68FE36DD"/>
    <w:rsid w:val="69004C92"/>
    <w:rsid w:val="69324B5A"/>
    <w:rsid w:val="69361A64"/>
    <w:rsid w:val="694E60FC"/>
    <w:rsid w:val="6979104D"/>
    <w:rsid w:val="698A2235"/>
    <w:rsid w:val="698F62F8"/>
    <w:rsid w:val="69AC49A5"/>
    <w:rsid w:val="69C6104F"/>
    <w:rsid w:val="69D1246D"/>
    <w:rsid w:val="69E91EAC"/>
    <w:rsid w:val="69E95A08"/>
    <w:rsid w:val="6A004944"/>
    <w:rsid w:val="6A185702"/>
    <w:rsid w:val="6A256904"/>
    <w:rsid w:val="6A2F0A2F"/>
    <w:rsid w:val="6A3550F2"/>
    <w:rsid w:val="6A3B2FA0"/>
    <w:rsid w:val="6A6D7F7B"/>
    <w:rsid w:val="6A755EBB"/>
    <w:rsid w:val="6A8B4D12"/>
    <w:rsid w:val="6AA415AC"/>
    <w:rsid w:val="6AC7341F"/>
    <w:rsid w:val="6ADB1190"/>
    <w:rsid w:val="6B0A10C7"/>
    <w:rsid w:val="6B0C190E"/>
    <w:rsid w:val="6B0D5727"/>
    <w:rsid w:val="6B187D34"/>
    <w:rsid w:val="6B1A00B9"/>
    <w:rsid w:val="6B1A0578"/>
    <w:rsid w:val="6B203091"/>
    <w:rsid w:val="6B656832"/>
    <w:rsid w:val="6B840DF8"/>
    <w:rsid w:val="6B8B4DDE"/>
    <w:rsid w:val="6B9A3DCD"/>
    <w:rsid w:val="6BB75808"/>
    <w:rsid w:val="6BCC3EA1"/>
    <w:rsid w:val="6BD51B3B"/>
    <w:rsid w:val="6BD914DC"/>
    <w:rsid w:val="6BE07BD1"/>
    <w:rsid w:val="6BE16F63"/>
    <w:rsid w:val="6C2063E9"/>
    <w:rsid w:val="6C5464DC"/>
    <w:rsid w:val="6C675CE6"/>
    <w:rsid w:val="6C825DCD"/>
    <w:rsid w:val="6C846BC3"/>
    <w:rsid w:val="6CA66B0A"/>
    <w:rsid w:val="6CBC732E"/>
    <w:rsid w:val="6CC61056"/>
    <w:rsid w:val="6CED41BB"/>
    <w:rsid w:val="6D1A7383"/>
    <w:rsid w:val="6D2F7478"/>
    <w:rsid w:val="6D30394E"/>
    <w:rsid w:val="6D3C724E"/>
    <w:rsid w:val="6D4F4321"/>
    <w:rsid w:val="6D830A32"/>
    <w:rsid w:val="6D886291"/>
    <w:rsid w:val="6D9E4D5C"/>
    <w:rsid w:val="6DA03D7B"/>
    <w:rsid w:val="6DCF206C"/>
    <w:rsid w:val="6DF41B82"/>
    <w:rsid w:val="6DFA4688"/>
    <w:rsid w:val="6DFF7360"/>
    <w:rsid w:val="6E184B0E"/>
    <w:rsid w:val="6E68362E"/>
    <w:rsid w:val="6E6B473B"/>
    <w:rsid w:val="6E7A5F73"/>
    <w:rsid w:val="6E873A42"/>
    <w:rsid w:val="6EA463A2"/>
    <w:rsid w:val="6EA539AB"/>
    <w:rsid w:val="6ED72817"/>
    <w:rsid w:val="6ED8332C"/>
    <w:rsid w:val="6EE669BA"/>
    <w:rsid w:val="6EE90F9D"/>
    <w:rsid w:val="6F0D6F34"/>
    <w:rsid w:val="6F374EEB"/>
    <w:rsid w:val="6F4F630E"/>
    <w:rsid w:val="6F695CAC"/>
    <w:rsid w:val="6F6C6EF3"/>
    <w:rsid w:val="6F9D047A"/>
    <w:rsid w:val="6FBC42DA"/>
    <w:rsid w:val="6FD74228"/>
    <w:rsid w:val="70134A49"/>
    <w:rsid w:val="701720E7"/>
    <w:rsid w:val="701B0EBE"/>
    <w:rsid w:val="7021106F"/>
    <w:rsid w:val="70231548"/>
    <w:rsid w:val="703451DA"/>
    <w:rsid w:val="703642F5"/>
    <w:rsid w:val="70591F63"/>
    <w:rsid w:val="705F32D9"/>
    <w:rsid w:val="707C46B4"/>
    <w:rsid w:val="707D2692"/>
    <w:rsid w:val="7086763A"/>
    <w:rsid w:val="70877D1A"/>
    <w:rsid w:val="708F291A"/>
    <w:rsid w:val="709F1D23"/>
    <w:rsid w:val="70A2275A"/>
    <w:rsid w:val="70D944FF"/>
    <w:rsid w:val="710F044A"/>
    <w:rsid w:val="71107D1F"/>
    <w:rsid w:val="711E1348"/>
    <w:rsid w:val="712E78C8"/>
    <w:rsid w:val="71460DC4"/>
    <w:rsid w:val="71526589"/>
    <w:rsid w:val="71633091"/>
    <w:rsid w:val="71750A11"/>
    <w:rsid w:val="718370DB"/>
    <w:rsid w:val="718550A0"/>
    <w:rsid w:val="719B1CDE"/>
    <w:rsid w:val="71A55272"/>
    <w:rsid w:val="71B921D6"/>
    <w:rsid w:val="71BB19CF"/>
    <w:rsid w:val="71BB412E"/>
    <w:rsid w:val="71C1726B"/>
    <w:rsid w:val="71F75304"/>
    <w:rsid w:val="723C71B1"/>
    <w:rsid w:val="727128B9"/>
    <w:rsid w:val="7298537C"/>
    <w:rsid w:val="72AC6915"/>
    <w:rsid w:val="72BE4276"/>
    <w:rsid w:val="72D10564"/>
    <w:rsid w:val="72E439C7"/>
    <w:rsid w:val="72E94CCB"/>
    <w:rsid w:val="73081CA5"/>
    <w:rsid w:val="731D23B4"/>
    <w:rsid w:val="73573CAA"/>
    <w:rsid w:val="7393717B"/>
    <w:rsid w:val="73AC7DF3"/>
    <w:rsid w:val="73AD004C"/>
    <w:rsid w:val="73CC40E5"/>
    <w:rsid w:val="73D7458C"/>
    <w:rsid w:val="74101226"/>
    <w:rsid w:val="74201F7D"/>
    <w:rsid w:val="74381F8F"/>
    <w:rsid w:val="745B39A7"/>
    <w:rsid w:val="7487762D"/>
    <w:rsid w:val="74952727"/>
    <w:rsid w:val="749E3E60"/>
    <w:rsid w:val="749F7D37"/>
    <w:rsid w:val="74AA2A04"/>
    <w:rsid w:val="74C33AA4"/>
    <w:rsid w:val="74C832CB"/>
    <w:rsid w:val="74DA7532"/>
    <w:rsid w:val="74EE0C17"/>
    <w:rsid w:val="74F44E42"/>
    <w:rsid w:val="75137DDD"/>
    <w:rsid w:val="75210D7A"/>
    <w:rsid w:val="75377F70"/>
    <w:rsid w:val="75385498"/>
    <w:rsid w:val="754769C0"/>
    <w:rsid w:val="756A12C2"/>
    <w:rsid w:val="757D16FB"/>
    <w:rsid w:val="757F6EF1"/>
    <w:rsid w:val="75AC3C3A"/>
    <w:rsid w:val="75B81D44"/>
    <w:rsid w:val="75C47A28"/>
    <w:rsid w:val="75D6274E"/>
    <w:rsid w:val="75EB48B6"/>
    <w:rsid w:val="75EF25F8"/>
    <w:rsid w:val="75F37776"/>
    <w:rsid w:val="75F43FCB"/>
    <w:rsid w:val="76004806"/>
    <w:rsid w:val="76137703"/>
    <w:rsid w:val="762E4412"/>
    <w:rsid w:val="76394CB0"/>
    <w:rsid w:val="764E462E"/>
    <w:rsid w:val="768E0063"/>
    <w:rsid w:val="76913C11"/>
    <w:rsid w:val="76BC207F"/>
    <w:rsid w:val="76EB4904"/>
    <w:rsid w:val="76FD6DBB"/>
    <w:rsid w:val="7711659E"/>
    <w:rsid w:val="77581B95"/>
    <w:rsid w:val="77626252"/>
    <w:rsid w:val="77645DCD"/>
    <w:rsid w:val="777378F5"/>
    <w:rsid w:val="777A2D3C"/>
    <w:rsid w:val="77A55BDD"/>
    <w:rsid w:val="77B27D81"/>
    <w:rsid w:val="77B37656"/>
    <w:rsid w:val="77BC4348"/>
    <w:rsid w:val="77C57043"/>
    <w:rsid w:val="77C931A3"/>
    <w:rsid w:val="77CD4BBB"/>
    <w:rsid w:val="77F83C64"/>
    <w:rsid w:val="781A1B74"/>
    <w:rsid w:val="78474930"/>
    <w:rsid w:val="785017C2"/>
    <w:rsid w:val="7857564B"/>
    <w:rsid w:val="787C38FC"/>
    <w:rsid w:val="788C4529"/>
    <w:rsid w:val="789514F7"/>
    <w:rsid w:val="78BE29A2"/>
    <w:rsid w:val="78F16688"/>
    <w:rsid w:val="78FE4639"/>
    <w:rsid w:val="79074B81"/>
    <w:rsid w:val="790A0367"/>
    <w:rsid w:val="793D4990"/>
    <w:rsid w:val="7940229E"/>
    <w:rsid w:val="794E1A27"/>
    <w:rsid w:val="794F0939"/>
    <w:rsid w:val="79576B4E"/>
    <w:rsid w:val="79AE4579"/>
    <w:rsid w:val="79AF0FCA"/>
    <w:rsid w:val="79B576D7"/>
    <w:rsid w:val="79BC6A38"/>
    <w:rsid w:val="79D8447E"/>
    <w:rsid w:val="79E3533A"/>
    <w:rsid w:val="79E9767B"/>
    <w:rsid w:val="79FF6F80"/>
    <w:rsid w:val="7A1E547B"/>
    <w:rsid w:val="7A3031E0"/>
    <w:rsid w:val="7A3D0FCE"/>
    <w:rsid w:val="7A8D7426"/>
    <w:rsid w:val="7AC41B95"/>
    <w:rsid w:val="7AC934DC"/>
    <w:rsid w:val="7AE357C7"/>
    <w:rsid w:val="7AF55978"/>
    <w:rsid w:val="7AF9279C"/>
    <w:rsid w:val="7AFB37ED"/>
    <w:rsid w:val="7B1316D4"/>
    <w:rsid w:val="7B38234C"/>
    <w:rsid w:val="7B41354C"/>
    <w:rsid w:val="7B5406A0"/>
    <w:rsid w:val="7B614062"/>
    <w:rsid w:val="7B641393"/>
    <w:rsid w:val="7B684EBF"/>
    <w:rsid w:val="7B8C2698"/>
    <w:rsid w:val="7BA7461C"/>
    <w:rsid w:val="7BBE376C"/>
    <w:rsid w:val="7BD8369B"/>
    <w:rsid w:val="7BD936BE"/>
    <w:rsid w:val="7C1E71A9"/>
    <w:rsid w:val="7C1F52BA"/>
    <w:rsid w:val="7C4E23DA"/>
    <w:rsid w:val="7C812685"/>
    <w:rsid w:val="7C865EDA"/>
    <w:rsid w:val="7C8D50E9"/>
    <w:rsid w:val="7CC51958"/>
    <w:rsid w:val="7CD53DF9"/>
    <w:rsid w:val="7D050953"/>
    <w:rsid w:val="7D097C86"/>
    <w:rsid w:val="7D19603B"/>
    <w:rsid w:val="7D486AAF"/>
    <w:rsid w:val="7D4A29BA"/>
    <w:rsid w:val="7D890CA5"/>
    <w:rsid w:val="7DA76754"/>
    <w:rsid w:val="7DBE513D"/>
    <w:rsid w:val="7DC52356"/>
    <w:rsid w:val="7DFD0E8E"/>
    <w:rsid w:val="7DFE13CE"/>
    <w:rsid w:val="7E2936C3"/>
    <w:rsid w:val="7E2D6236"/>
    <w:rsid w:val="7E6411B9"/>
    <w:rsid w:val="7E745D91"/>
    <w:rsid w:val="7E8B1919"/>
    <w:rsid w:val="7EA1645A"/>
    <w:rsid w:val="7EBE525E"/>
    <w:rsid w:val="7ECE4FDC"/>
    <w:rsid w:val="7F0F4682"/>
    <w:rsid w:val="7F291DD5"/>
    <w:rsid w:val="7F363046"/>
    <w:rsid w:val="7F5A3500"/>
    <w:rsid w:val="7F5B1901"/>
    <w:rsid w:val="7F6820BF"/>
    <w:rsid w:val="7F855D7C"/>
    <w:rsid w:val="7FC9483E"/>
    <w:rsid w:val="7FE84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link w:val="5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53"/>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b/>
      <w:bCs/>
      <w:sz w:val="28"/>
      <w:szCs w:val="28"/>
    </w:rPr>
  </w:style>
  <w:style w:type="character" w:default="1" w:styleId="26">
    <w:name w:val="Default Paragraph Font"/>
    <w:semiHidden/>
    <w:unhideWhenUsed/>
    <w:qFormat/>
    <w:uiPriority w:val="1"/>
  </w:style>
  <w:style w:type="table" w:default="1" w:styleId="32">
    <w:name w:val="Normal Table"/>
    <w:semiHidden/>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61"/>
    <w:semiHidden/>
    <w:unhideWhenUsed/>
    <w:qFormat/>
    <w:uiPriority w:val="99"/>
    <w:rPr>
      <w:rFonts w:ascii="@仿宋_GB2312" w:hAnsi="@仿宋_GB2312" w:eastAsia="@仿宋_GB2312" w:cs="@仿宋_GB2312"/>
      <w:b/>
      <w:bCs/>
    </w:rPr>
  </w:style>
  <w:style w:type="paragraph" w:styleId="7">
    <w:name w:val="annotation text"/>
    <w:basedOn w:val="1"/>
    <w:link w:val="50"/>
    <w:qFormat/>
    <w:uiPriority w:val="0"/>
    <w:pPr>
      <w:jc w:val="left"/>
    </w:pPr>
    <w:rPr>
      <w:rFonts w:ascii="Arial" w:hAnsi="Arial" w:eastAsia="黑体" w:cs="Arial"/>
    </w:rPr>
  </w:style>
  <w:style w:type="paragraph" w:styleId="8">
    <w:name w:val="Body Text First Indent"/>
    <w:basedOn w:val="9"/>
    <w:unhideWhenUsed/>
    <w:qFormat/>
    <w:uiPriority w:val="99"/>
    <w:pPr>
      <w:ind w:firstLine="420" w:firstLineChars="100"/>
    </w:pPr>
  </w:style>
  <w:style w:type="paragraph" w:styleId="9">
    <w:name w:val="Body Text"/>
    <w:basedOn w:val="1"/>
    <w:qFormat/>
    <w:uiPriority w:val="0"/>
    <w:pPr>
      <w:spacing w:after="120"/>
    </w:pPr>
    <w:rPr>
      <w:rFonts w:ascii="@微软简标宋" w:hAnsi="@微软简标宋" w:eastAsia="@微软简标宋" w:cs="@微软简标宋"/>
      <w:szCs w:val="24"/>
      <w:lang w:val="zh-CN"/>
    </w:rPr>
  </w:style>
  <w:style w:type="paragraph" w:styleId="10">
    <w:name w:val="Normal Indent"/>
    <w:basedOn w:val="1"/>
    <w:qFormat/>
    <w:uiPriority w:val="0"/>
    <w:pPr>
      <w:autoSpaceDE w:val="0"/>
      <w:autoSpaceDN w:val="0"/>
      <w:adjustRightInd w:val="0"/>
      <w:ind w:firstLine="420"/>
      <w:jc w:val="left"/>
    </w:pPr>
    <w:rPr>
      <w:rFonts w:ascii="宋体" w:hAnsi="Times New Roman" w:eastAsia="宋体" w:cs="Times New Roman"/>
      <w:kern w:val="0"/>
      <w:sz w:val="24"/>
    </w:rPr>
  </w:style>
  <w:style w:type="paragraph" w:styleId="11">
    <w:name w:val="Body Text Indent"/>
    <w:basedOn w:val="1"/>
    <w:next w:val="12"/>
    <w:qFormat/>
    <w:uiPriority w:val="0"/>
    <w:pPr>
      <w:spacing w:after="120"/>
      <w:ind w:left="420" w:leftChars="200"/>
    </w:pPr>
  </w:style>
  <w:style w:type="paragraph" w:styleId="12">
    <w:name w:val="envelope return"/>
    <w:basedOn w:val="1"/>
    <w:qFormat/>
    <w:uiPriority w:val="99"/>
    <w:pPr>
      <w:snapToGrid w:val="0"/>
    </w:pPr>
    <w:rPr>
      <w:rFonts w:ascii="Arial" w:hAnsi="Arial" w:cs="Arial"/>
    </w:rPr>
  </w:style>
  <w:style w:type="paragraph" w:styleId="13">
    <w:name w:val="index 4"/>
    <w:next w:val="1"/>
    <w:unhideWhenUsed/>
    <w:qFormat/>
    <w:uiPriority w:val="0"/>
    <w:pPr>
      <w:widowControl w:val="0"/>
      <w:kinsoku w:val="0"/>
      <w:autoSpaceDE w:val="0"/>
      <w:autoSpaceDN w:val="0"/>
      <w:adjustRightInd w:val="0"/>
      <w:snapToGrid w:val="0"/>
      <w:ind w:left="600" w:leftChars="600"/>
      <w:jc w:val="both"/>
      <w:textAlignment w:val="baseline"/>
    </w:pPr>
    <w:rPr>
      <w:rFonts w:ascii="Arial" w:hAnsi="Arial" w:eastAsia="Arial" w:cs="Arial"/>
      <w:snapToGrid w:val="0"/>
      <w:color w:val="000000"/>
      <w:kern w:val="2"/>
      <w:sz w:val="21"/>
      <w:szCs w:val="21"/>
      <w:lang w:val="en-US" w:eastAsia="zh-CN" w:bidi="ar-SA"/>
    </w:rPr>
  </w:style>
  <w:style w:type="paragraph" w:styleId="14">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5">
    <w:name w:val="Plain Text"/>
    <w:basedOn w:val="1"/>
    <w:link w:val="40"/>
    <w:qFormat/>
    <w:uiPriority w:val="99"/>
    <w:rPr>
      <w:rFonts w:ascii="宋体" w:hAnsi="Courier New" w:eastAsiaTheme="minorEastAsia" w:cstheme="minorBidi"/>
      <w:szCs w:val="22"/>
    </w:rPr>
  </w:style>
  <w:style w:type="paragraph" w:styleId="16">
    <w:name w:val="Date"/>
    <w:basedOn w:val="1"/>
    <w:next w:val="1"/>
    <w:link w:val="47"/>
    <w:qFormat/>
    <w:uiPriority w:val="0"/>
    <w:rPr>
      <w:rFonts w:ascii="Arial" w:hAnsi="Arial" w:eastAsia="宋体" w:cs="Arial"/>
      <w:b/>
      <w:sz w:val="28"/>
    </w:rPr>
  </w:style>
  <w:style w:type="paragraph" w:styleId="17">
    <w:name w:val="Balloon Text"/>
    <w:basedOn w:val="1"/>
    <w:link w:val="34"/>
    <w:semiHidden/>
    <w:unhideWhenUsed/>
    <w:qFormat/>
    <w:uiPriority w:val="99"/>
    <w:rPr>
      <w:sz w:val="18"/>
      <w:szCs w:val="18"/>
    </w:rPr>
  </w:style>
  <w:style w:type="paragraph" w:styleId="18">
    <w:name w:val="footer"/>
    <w:basedOn w:val="1"/>
    <w:link w:val="39"/>
    <w:unhideWhenUsed/>
    <w:qFormat/>
    <w:uiPriority w:val="99"/>
    <w:pPr>
      <w:tabs>
        <w:tab w:val="center" w:pos="4153"/>
        <w:tab w:val="right" w:pos="8306"/>
      </w:tabs>
      <w:snapToGrid w:val="0"/>
      <w:jc w:val="left"/>
    </w:pPr>
    <w:rPr>
      <w:sz w:val="18"/>
      <w:szCs w:val="18"/>
    </w:rPr>
  </w:style>
  <w:style w:type="paragraph" w:styleId="19">
    <w:name w:val="Body Text First Indent 2"/>
    <w:basedOn w:val="11"/>
    <w:unhideWhenUsed/>
    <w:qFormat/>
    <w:uiPriority w:val="99"/>
    <w:pPr>
      <w:ind w:left="420" w:firstLine="420" w:firstLineChars="200"/>
    </w:pPr>
    <w:rPr>
      <w:rFonts w:ascii="Times New Roman" w:cs="Times New Roman"/>
    </w:rPr>
  </w:style>
  <w:style w:type="paragraph" w:styleId="20">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2">
    <w:name w:val="footnote text"/>
    <w:basedOn w:val="1"/>
    <w:semiHidden/>
    <w:unhideWhenUsed/>
    <w:qFormat/>
    <w:uiPriority w:val="99"/>
    <w:pPr>
      <w:snapToGrid w:val="0"/>
      <w:jc w:val="left"/>
    </w:pPr>
    <w:rPr>
      <w:sz w:val="18"/>
    </w:rPr>
  </w:style>
  <w:style w:type="paragraph" w:styleId="23">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4">
    <w:name w:val="Normal (Web)"/>
    <w:basedOn w:val="1"/>
    <w:qFormat/>
    <w:uiPriority w:val="0"/>
    <w:pPr>
      <w:spacing w:before="100" w:beforeAutospacing="1" w:after="100" w:afterAutospacing="1"/>
      <w:jc w:val="left"/>
    </w:pPr>
    <w:rPr>
      <w:rFonts w:cs="Times New Roman"/>
      <w:kern w:val="0"/>
      <w:sz w:val="24"/>
    </w:rPr>
  </w:style>
  <w:style w:type="paragraph" w:styleId="25">
    <w:name w:val="index 1"/>
    <w:basedOn w:val="1"/>
    <w:next w:val="1"/>
    <w:qFormat/>
    <w:uiPriority w:val="0"/>
    <w:pPr>
      <w:jc w:val="center"/>
    </w:pPr>
    <w:rPr>
      <w:rFonts w:ascii="Arial" w:hAnsi="Arial" w:eastAsia="Arial" w:cs="Arial"/>
      <w:b/>
      <w:bCs/>
      <w:sz w:val="28"/>
    </w:rPr>
  </w:style>
  <w:style w:type="character" w:styleId="27">
    <w:name w:val="Strong"/>
    <w:qFormat/>
    <w:uiPriority w:val="0"/>
    <w:rPr>
      <w:b/>
      <w:bCs/>
    </w:rPr>
  </w:style>
  <w:style w:type="character" w:styleId="28">
    <w:name w:val="Emphasis"/>
    <w:basedOn w:val="26"/>
    <w:qFormat/>
    <w:uiPriority w:val="0"/>
    <w:rPr>
      <w:i/>
    </w:rPr>
  </w:style>
  <w:style w:type="character" w:styleId="29">
    <w:name w:val="Hyperlink"/>
    <w:basedOn w:val="26"/>
    <w:unhideWhenUsed/>
    <w:qFormat/>
    <w:uiPriority w:val="99"/>
    <w:rPr>
      <w:color w:val="0000FF"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styleId="31">
    <w:name w:val="footnote reference"/>
    <w:basedOn w:val="26"/>
    <w:semiHidden/>
    <w:unhideWhenUsed/>
    <w:qFormat/>
    <w:uiPriority w:val="99"/>
    <w:rPr>
      <w:vertAlign w:val="superscript"/>
    </w:rPr>
  </w:style>
  <w:style w:type="table" w:styleId="33">
    <w:name w:val="Table Grid"/>
    <w:basedOn w:val="32"/>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4">
    <w:name w:val="批注框文本 Char"/>
    <w:basedOn w:val="26"/>
    <w:link w:val="17"/>
    <w:semiHidden/>
    <w:qFormat/>
    <w:uiPriority w:val="99"/>
    <w:rPr>
      <w:rFonts w:ascii="@仿宋_GB2312" w:hAnsi="@仿宋_GB2312" w:eastAsia="@仿宋_GB2312" w:cs="@仿宋_GB2312"/>
      <w:sz w:val="18"/>
      <w:szCs w:val="18"/>
    </w:rPr>
  </w:style>
  <w:style w:type="paragraph" w:customStyle="1" w:styleId="35">
    <w:name w:val="正文（缩进）"/>
    <w:basedOn w:val="1"/>
    <w:qFormat/>
    <w:uiPriority w:val="0"/>
    <w:pPr>
      <w:widowControl/>
      <w:spacing w:before="156" w:after="156"/>
      <w:ind w:firstLine="480" w:firstLineChars="200"/>
      <w:jc w:val="left"/>
    </w:pPr>
    <w:rPr>
      <w:kern w:val="0"/>
      <w:sz w:val="24"/>
      <w:szCs w:val="24"/>
    </w:rPr>
  </w:style>
  <w:style w:type="paragraph" w:customStyle="1" w:styleId="36">
    <w:name w:val="xl31"/>
    <w:basedOn w:val="1"/>
    <w:qFormat/>
    <w:uiPriority w:val="0"/>
    <w:pPr>
      <w:widowControl/>
      <w:spacing w:before="100" w:beforeAutospacing="1" w:after="100" w:afterAutospacing="1"/>
      <w:jc w:val="center"/>
    </w:pPr>
    <w:rPr>
      <w:b/>
      <w:bCs/>
      <w:kern w:val="0"/>
      <w:sz w:val="28"/>
      <w:szCs w:val="28"/>
    </w:rPr>
  </w:style>
  <w:style w:type="paragraph" w:customStyle="1" w:styleId="37">
    <w:name w:val="D&amp;L"/>
    <w:basedOn w:val="20"/>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8">
    <w:name w:val="页眉 Char"/>
    <w:basedOn w:val="26"/>
    <w:link w:val="20"/>
    <w:qFormat/>
    <w:uiPriority w:val="99"/>
    <w:rPr>
      <w:rFonts w:ascii="@仿宋_GB2312" w:hAnsi="@仿宋_GB2312" w:eastAsia="@仿宋_GB2312" w:cs="@仿宋_GB2312"/>
      <w:sz w:val="18"/>
      <w:szCs w:val="18"/>
    </w:rPr>
  </w:style>
  <w:style w:type="character" w:customStyle="1" w:styleId="39">
    <w:name w:val="页脚 Char"/>
    <w:basedOn w:val="26"/>
    <w:link w:val="18"/>
    <w:qFormat/>
    <w:uiPriority w:val="99"/>
    <w:rPr>
      <w:rFonts w:ascii="@仿宋_GB2312" w:hAnsi="@仿宋_GB2312" w:eastAsia="@仿宋_GB2312" w:cs="@仿宋_GB2312"/>
      <w:sz w:val="18"/>
      <w:szCs w:val="18"/>
    </w:rPr>
  </w:style>
  <w:style w:type="character" w:customStyle="1" w:styleId="40">
    <w:name w:val="纯文本 Char"/>
    <w:link w:val="15"/>
    <w:qFormat/>
    <w:uiPriority w:val="0"/>
    <w:rPr>
      <w:rFonts w:ascii="宋体" w:hAnsi="Courier New"/>
    </w:rPr>
  </w:style>
  <w:style w:type="character" w:customStyle="1" w:styleId="41">
    <w:name w:val="纯文本 字符1"/>
    <w:basedOn w:val="26"/>
    <w:semiHidden/>
    <w:qFormat/>
    <w:uiPriority w:val="99"/>
    <w:rPr>
      <w:rFonts w:hAnsi="Courier New" w:cs="Courier New" w:asciiTheme="minorEastAsia"/>
      <w:szCs w:val="20"/>
    </w:rPr>
  </w:style>
  <w:style w:type="character" w:customStyle="1" w:styleId="42">
    <w:name w:val="未处理的提及1"/>
    <w:basedOn w:val="26"/>
    <w:semiHidden/>
    <w:unhideWhenUsed/>
    <w:qFormat/>
    <w:uiPriority w:val="99"/>
    <w:rPr>
      <w:color w:val="605E5C"/>
      <w:shd w:val="clear" w:color="auto" w:fill="E1DFDD"/>
    </w:rPr>
  </w:style>
  <w:style w:type="paragraph" w:styleId="43">
    <w:name w:val="List Paragraph"/>
    <w:basedOn w:val="1"/>
    <w:qFormat/>
    <w:uiPriority w:val="34"/>
    <w:pPr>
      <w:ind w:firstLine="420" w:firstLineChars="200"/>
    </w:pPr>
  </w:style>
  <w:style w:type="paragraph" w:customStyle="1" w:styleId="44">
    <w:name w:val="Char Char Char Char Char Char Char1 Char"/>
    <w:basedOn w:val="1"/>
    <w:qFormat/>
    <w:uiPriority w:val="0"/>
    <w:rPr>
      <w:rFonts w:ascii="Arial" w:hAnsi="Arial" w:eastAsia="宋体" w:cs="Arial"/>
      <w:sz w:val="24"/>
    </w:rPr>
  </w:style>
  <w:style w:type="table" w:customStyle="1" w:styleId="45">
    <w:name w:val="网格表 1 浅色1"/>
    <w:basedOn w:val="32"/>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fixed"/>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46">
    <w:name w:val="日期 字符"/>
    <w:basedOn w:val="26"/>
    <w:semiHidden/>
    <w:qFormat/>
    <w:uiPriority w:val="99"/>
    <w:rPr>
      <w:rFonts w:ascii="@仿宋_GB2312" w:hAnsi="@仿宋_GB2312" w:eastAsia="@仿宋_GB2312" w:cs="@仿宋_GB2312"/>
      <w:szCs w:val="20"/>
    </w:rPr>
  </w:style>
  <w:style w:type="character" w:customStyle="1" w:styleId="47">
    <w:name w:val="日期 Char"/>
    <w:link w:val="16"/>
    <w:qFormat/>
    <w:uiPriority w:val="0"/>
    <w:rPr>
      <w:rFonts w:ascii="Arial" w:hAnsi="Arial" w:eastAsia="宋体" w:cs="Arial"/>
      <w:b/>
      <w:sz w:val="28"/>
      <w:szCs w:val="20"/>
    </w:rPr>
  </w:style>
  <w:style w:type="character" w:customStyle="1" w:styleId="48">
    <w:name w:val="纯文本 Char1"/>
    <w:qFormat/>
    <w:locked/>
    <w:uiPriority w:val="99"/>
    <w:rPr>
      <w:rFonts w:ascii="Arial" w:hAnsi="Arial" w:eastAsia="Arial"/>
      <w:kern w:val="2"/>
      <w:sz w:val="21"/>
      <w:lang w:val="en-US" w:eastAsia="zh-CN" w:bidi="ar-SA"/>
    </w:rPr>
  </w:style>
  <w:style w:type="character" w:customStyle="1" w:styleId="49">
    <w:name w:val="批注文字 Char"/>
    <w:basedOn w:val="26"/>
    <w:semiHidden/>
    <w:qFormat/>
    <w:uiPriority w:val="99"/>
    <w:rPr>
      <w:rFonts w:ascii="@仿宋_GB2312" w:hAnsi="@仿宋_GB2312" w:eastAsia="@仿宋_GB2312" w:cs="@仿宋_GB2312"/>
      <w:szCs w:val="20"/>
    </w:rPr>
  </w:style>
  <w:style w:type="character" w:customStyle="1" w:styleId="50">
    <w:name w:val="批注文字 Char1"/>
    <w:link w:val="7"/>
    <w:qFormat/>
    <w:uiPriority w:val="0"/>
    <w:rPr>
      <w:rFonts w:ascii="Arial" w:hAnsi="Arial" w:eastAsia="黑体" w:cs="Arial"/>
      <w:szCs w:val="20"/>
    </w:rPr>
  </w:style>
  <w:style w:type="character" w:customStyle="1" w:styleId="51">
    <w:name w:val="标题 1 Char"/>
    <w:basedOn w:val="26"/>
    <w:link w:val="2"/>
    <w:qFormat/>
    <w:uiPriority w:val="9"/>
    <w:rPr>
      <w:rFonts w:ascii="@仿宋_GB2312" w:hAnsi="@仿宋_GB2312" w:eastAsia="@仿宋_GB2312" w:cs="@仿宋_GB2312"/>
      <w:b/>
      <w:bCs/>
      <w:kern w:val="44"/>
      <w:sz w:val="44"/>
      <w:szCs w:val="44"/>
    </w:rPr>
  </w:style>
  <w:style w:type="paragraph" w:customStyle="1" w:styleId="52">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3">
    <w:name w:val="标题 3 Char"/>
    <w:basedOn w:val="26"/>
    <w:link w:val="4"/>
    <w:semiHidden/>
    <w:qFormat/>
    <w:uiPriority w:val="9"/>
    <w:rPr>
      <w:rFonts w:ascii="@仿宋_GB2312" w:hAnsi="@仿宋_GB2312" w:eastAsia="@仿宋_GB2312" w:cs="@仿宋_GB2312"/>
      <w:b/>
      <w:bCs/>
      <w:sz w:val="32"/>
      <w:szCs w:val="32"/>
    </w:rPr>
  </w:style>
  <w:style w:type="character" w:customStyle="1" w:styleId="54">
    <w:name w:val="fontstyle01"/>
    <w:basedOn w:val="26"/>
    <w:qFormat/>
    <w:uiPriority w:val="0"/>
    <w:rPr>
      <w:rFonts w:hint="eastAsia" w:ascii="宋体" w:hAnsi="宋体" w:eastAsia="宋体"/>
      <w:color w:val="000000"/>
      <w:sz w:val="22"/>
      <w:szCs w:val="22"/>
    </w:rPr>
  </w:style>
  <w:style w:type="character" w:customStyle="1" w:styleId="55">
    <w:name w:val="fontstyle21"/>
    <w:basedOn w:val="26"/>
    <w:qFormat/>
    <w:uiPriority w:val="0"/>
    <w:rPr>
      <w:rFonts w:hint="default" w:ascii="TimesNewRomanPSMT" w:hAnsi="TimesNewRomanPSMT"/>
      <w:color w:val="000000"/>
      <w:sz w:val="22"/>
      <w:szCs w:val="22"/>
    </w:rPr>
  </w:style>
  <w:style w:type="character" w:customStyle="1" w:styleId="56">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57">
    <w:name w:val="标题 4 字符"/>
    <w:basedOn w:val="26"/>
    <w:semiHidden/>
    <w:qFormat/>
    <w:uiPriority w:val="9"/>
    <w:rPr>
      <w:rFonts w:asciiTheme="majorHAnsi" w:hAnsiTheme="majorHAnsi" w:eastAsiaTheme="majorEastAsia" w:cstheme="majorBidi"/>
      <w:b/>
      <w:bCs/>
      <w:sz w:val="28"/>
      <w:szCs w:val="28"/>
    </w:rPr>
  </w:style>
  <w:style w:type="character" w:customStyle="1" w:styleId="58">
    <w:name w:val="标题 4 Char1"/>
    <w:link w:val="5"/>
    <w:qFormat/>
    <w:uiPriority w:val="0"/>
    <w:rPr>
      <w:rFonts w:ascii="@仿宋_GB2312" w:hAnsi="@仿宋_GB2312" w:eastAsia="@仿宋_GB2312" w:cs="@仿宋_GB2312"/>
      <w:b/>
      <w:bCs/>
      <w:sz w:val="28"/>
      <w:szCs w:val="28"/>
    </w:rPr>
  </w:style>
  <w:style w:type="character" w:customStyle="1" w:styleId="59">
    <w:name w:val="标题 4 Char"/>
    <w:qFormat/>
    <w:uiPriority w:val="0"/>
    <w:rPr>
      <w:rFonts w:ascii="Arial" w:hAnsi="Arial" w:eastAsia="Arial"/>
      <w:b/>
      <w:bCs/>
      <w:kern w:val="2"/>
      <w:sz w:val="28"/>
      <w:szCs w:val="28"/>
      <w:lang w:val="en-US" w:eastAsia="zh-CN" w:bidi="ar-SA"/>
    </w:rPr>
  </w:style>
  <w:style w:type="table" w:customStyle="1" w:styleId="60">
    <w:name w:val="网格型1"/>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61">
    <w:name w:val="批注主题 Char"/>
    <w:basedOn w:val="50"/>
    <w:link w:val="6"/>
    <w:semiHidden/>
    <w:qFormat/>
    <w:uiPriority w:val="99"/>
    <w:rPr>
      <w:rFonts w:ascii="@仿宋_GB2312" w:hAnsi="@仿宋_GB2312" w:eastAsia="@仿宋_GB2312" w:cs="@仿宋_GB2312"/>
      <w:b/>
      <w:bCs/>
      <w:szCs w:val="20"/>
    </w:rPr>
  </w:style>
  <w:style w:type="table" w:customStyle="1" w:styleId="62">
    <w:name w:val="Table Normal"/>
    <w:semiHidden/>
    <w:unhideWhenUsed/>
    <w:qFormat/>
    <w:uiPriority w:val="0"/>
    <w:tblPr>
      <w:tblLayout w:type="fixed"/>
      <w:tblCellMar>
        <w:top w:w="0" w:type="dxa"/>
        <w:left w:w="0" w:type="dxa"/>
        <w:bottom w:w="0" w:type="dxa"/>
        <w:right w:w="0" w:type="dxa"/>
      </w:tblCellMar>
    </w:tblPr>
  </w:style>
  <w:style w:type="paragraph" w:customStyle="1" w:styleId="63">
    <w:name w:val="Table Text"/>
    <w:basedOn w:val="1"/>
    <w:semiHidden/>
    <w:qFormat/>
    <w:uiPriority w:val="0"/>
    <w:rPr>
      <w:rFonts w:ascii="Arial" w:hAnsi="Arial" w:eastAsia="Arial" w:cs="Arial"/>
      <w:sz w:val="21"/>
      <w:szCs w:val="21"/>
      <w:lang w:val="en-US" w:eastAsia="en-US" w:bidi="ar-SA"/>
    </w:rPr>
  </w:style>
  <w:style w:type="paragraph" w:customStyle="1" w:styleId="6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5">
    <w:name w:val="列出段落1"/>
    <w:basedOn w:val="1"/>
    <w:qFormat/>
    <w:uiPriority w:val="0"/>
    <w:pPr>
      <w:ind w:firstLine="420" w:firstLineChars="200"/>
    </w:pPr>
    <w:rPr>
      <w:szCs w:val="21"/>
    </w:rPr>
  </w:style>
  <w:style w:type="table" w:customStyle="1" w:styleId="66">
    <w:name w:val="Grid Table Light"/>
    <w:basedOn w:val="32"/>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AC3C6-84CB-4D2E-AFC0-C8AD46F7C0BA}">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9</Pages>
  <Words>3151</Words>
  <Characters>3920</Characters>
  <Lines>244</Lines>
  <Paragraphs>68</Paragraphs>
  <TotalTime>32</TotalTime>
  <ScaleCrop>false</ScaleCrop>
  <LinksUpToDate>false</LinksUpToDate>
  <CharactersWithSpaces>3997</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省招</cp:lastModifiedBy>
  <cp:lastPrinted>2019-12-07T15:18:00Z</cp:lastPrinted>
  <dcterms:modified xsi:type="dcterms:W3CDTF">2026-04-21T07:35:59Z</dcterms:modified>
  <cp:revision>388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FCAEAF5BEA3C447A9C105F6880C04182_13</vt:lpwstr>
  </property>
  <property fmtid="{D5CDD505-2E9C-101B-9397-08002B2CF9AE}" pid="4" name="KSOTemplateDocerSaveRecord">
    <vt:lpwstr>eyJoZGlkIjoiOTQyZjcwZDA5MTZmMDA0Y2M2MDliNTA2MDcxOTY5MTIiLCJ1c2VySWQiOiI0NTQwMDY1ODUifQ==</vt:lpwstr>
  </property>
</Properties>
</file>